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等线" w:hAnsi="等线" w:eastAsia="等线" w:cs="Times New Roman"/>
          <w:color w:val="auto"/>
          <w:kern w:val="2"/>
          <w:sz w:val="21"/>
          <w:szCs w:val="21"/>
          <w:lang w:eastAsia="zh-CN" w:bidi="ar-SA"/>
        </w:rPr>
      </w:pPr>
      <w:r>
        <w:rPr>
          <w:rFonts w:hint="eastAsia" w:ascii="等线" w:hAnsi="等线" w:eastAsia="等线" w:cs="Times New Roman"/>
          <w:color w:val="auto"/>
          <w:kern w:val="2"/>
          <w:sz w:val="21"/>
          <w:szCs w:val="21"/>
          <w:lang w:eastAsia="zh-CN" w:bidi="ar-SA"/>
        </w:rPr>
        <w:t xml:space="preserve">附件         </w:t>
      </w:r>
    </w:p>
    <w:p>
      <w:pPr>
        <w:pStyle w:val="6"/>
        <w:rPr>
          <w:rFonts w:ascii="等线" w:hAnsi="等线" w:eastAsia="等线" w:cs="Times New Roman"/>
          <w:b/>
          <w:bCs/>
          <w:color w:val="auto"/>
          <w:kern w:val="2"/>
          <w:sz w:val="32"/>
          <w:szCs w:val="32"/>
          <w:lang w:eastAsia="zh-CN" w:bidi="ar-SA"/>
        </w:rPr>
      </w:pPr>
      <w:r>
        <w:t>西昌学院</w:t>
      </w:r>
      <w:r>
        <w:rPr>
          <w:rFonts w:hint="eastAsia"/>
          <w:sz w:val="34"/>
          <w:szCs w:val="34"/>
          <w:lang w:val="en-US" w:eastAsia="zh-CN"/>
        </w:rPr>
        <w:t>体育</w:t>
      </w:r>
      <w:r>
        <w:rPr>
          <w:rFonts w:hint="eastAsia"/>
          <w:sz w:val="34"/>
          <w:szCs w:val="34"/>
        </w:rPr>
        <w:t>学院</w:t>
      </w:r>
      <w:r>
        <w:rPr>
          <w:rFonts w:hint="eastAsia"/>
          <w:sz w:val="34"/>
          <w:szCs w:val="34"/>
          <w:lang w:val="en-US" w:eastAsia="zh-CN"/>
        </w:rPr>
        <w:t>田径教学全套跳高设备</w:t>
      </w:r>
      <w:r>
        <w:rPr>
          <w:rFonts w:hint="eastAsia" w:ascii="等线" w:hAnsi="等线" w:eastAsia="等线" w:cs="Times New Roman"/>
          <w:b/>
          <w:bCs/>
          <w:color w:val="auto"/>
          <w:kern w:val="2"/>
          <w:sz w:val="32"/>
          <w:szCs w:val="32"/>
          <w:lang w:eastAsia="zh-CN" w:bidi="ar-SA"/>
        </w:rPr>
        <w:t>采购需求</w:t>
      </w:r>
    </w:p>
    <w:p>
      <w:pPr>
        <w:spacing w:line="360" w:lineRule="auto"/>
        <w:jc w:val="both"/>
        <w:rPr>
          <w:rFonts w:ascii="等线" w:hAnsi="等线" w:eastAsia="等线" w:cs="Times New Roman"/>
          <w:color w:val="auto"/>
          <w:kern w:val="2"/>
          <w:sz w:val="21"/>
          <w:szCs w:val="22"/>
          <w:lang w:eastAsia="zh-CN" w:bidi="ar-SA"/>
        </w:rPr>
      </w:pPr>
      <w:r>
        <w:rPr>
          <w:rFonts w:hint="eastAsia" w:ascii="等线" w:hAnsi="等线" w:eastAsia="等线" w:cs="Times New Roman"/>
          <w:b/>
          <w:bCs/>
          <w:color w:val="auto"/>
          <w:kern w:val="2"/>
          <w:sz w:val="21"/>
          <w:szCs w:val="22"/>
          <w:lang w:eastAsia="zh-CN" w:bidi="ar-SA"/>
        </w:rPr>
        <w:t>1.项目概述</w:t>
      </w:r>
      <w:r>
        <w:rPr>
          <w:rFonts w:hint="eastAsia" w:ascii="等线" w:hAnsi="等线" w:eastAsia="等线" w:cs="Times New Roman"/>
          <w:color w:val="auto"/>
          <w:kern w:val="2"/>
          <w:sz w:val="21"/>
          <w:szCs w:val="22"/>
          <w:lang w:eastAsia="zh-CN" w:bidi="ar-SA"/>
        </w:rPr>
        <w:t>：</w:t>
      </w:r>
    </w:p>
    <w:p>
      <w:pPr>
        <w:spacing w:line="360" w:lineRule="auto"/>
        <w:ind w:firstLine="420" w:firstLineChars="200"/>
        <w:jc w:val="both"/>
        <w:rPr>
          <w:rFonts w:hint="default" w:ascii="等线" w:hAnsi="等线" w:eastAsia="等线" w:cs="Times New Roman"/>
          <w:bCs/>
          <w:color w:val="auto"/>
          <w:kern w:val="2"/>
          <w:sz w:val="21"/>
          <w:szCs w:val="22"/>
          <w:lang w:val="en-US" w:eastAsia="zh-CN" w:bidi="ar-SA"/>
        </w:rPr>
      </w:pPr>
      <w:r>
        <w:rPr>
          <w:rFonts w:hint="eastAsia" w:ascii="等线" w:hAnsi="等线" w:eastAsia="等线" w:cs="Times New Roman"/>
          <w:bCs/>
          <w:color w:val="auto"/>
          <w:kern w:val="2"/>
          <w:sz w:val="21"/>
          <w:szCs w:val="22"/>
          <w:lang w:val="en-US" w:eastAsia="zh-CN" w:bidi="ar-SA"/>
        </w:rPr>
        <w:t>西昌学院拟于2023年10月承办由四川省教育厅主办的四川省高校体育教育专业学生基本功大赛暨阳光体适能大赛主场比赛工作，急需采购一套田径跳高设备，用于此次比赛及以后的日常教学</w:t>
      </w:r>
      <w:r>
        <w:rPr>
          <w:rFonts w:hint="eastAsia" w:ascii="等线" w:hAnsi="等线" w:eastAsia="等线" w:cs="Times New Roman"/>
          <w:bCs/>
          <w:color w:val="auto"/>
          <w:kern w:val="2"/>
          <w:sz w:val="21"/>
          <w:szCs w:val="22"/>
          <w:lang w:eastAsia="zh-CN" w:bidi="ar-SA"/>
        </w:rPr>
        <w:t>。</w:t>
      </w:r>
      <w:r>
        <w:rPr>
          <w:rFonts w:hint="eastAsia" w:ascii="等线" w:hAnsi="等线" w:eastAsia="等线" w:cs="Times New Roman"/>
          <w:bCs/>
          <w:color w:val="auto"/>
          <w:kern w:val="2"/>
          <w:sz w:val="21"/>
          <w:szCs w:val="22"/>
          <w:lang w:val="en-US" w:eastAsia="zh-CN" w:bidi="ar-SA"/>
        </w:rPr>
        <w:t>该项目主要用于田径跳高项目比赛、教学，主要服务对象为体育学院体育专业学生，使用范围涉及校内体育专业竞赛、教学。</w:t>
      </w:r>
    </w:p>
    <w:p>
      <w:pPr>
        <w:spacing w:line="360" w:lineRule="auto"/>
        <w:jc w:val="both"/>
        <w:rPr>
          <w:rFonts w:ascii="等线" w:hAnsi="等线" w:eastAsia="等线" w:cs="Times New Roman"/>
          <w:b/>
          <w:bCs/>
          <w:color w:val="auto"/>
          <w:kern w:val="2"/>
          <w:sz w:val="21"/>
          <w:szCs w:val="22"/>
          <w:lang w:eastAsia="zh-CN" w:bidi="ar-SA"/>
        </w:rPr>
      </w:pPr>
      <w:r>
        <w:rPr>
          <w:rFonts w:hint="eastAsia" w:ascii="等线" w:hAnsi="等线" w:eastAsia="等线" w:cs="Times New Roman"/>
          <w:b/>
          <w:bCs/>
          <w:color w:val="auto"/>
          <w:kern w:val="2"/>
          <w:sz w:val="21"/>
          <w:szCs w:val="22"/>
          <w:lang w:eastAsia="zh-CN" w:bidi="ar-SA"/>
        </w:rPr>
        <w:t>2</w:t>
      </w:r>
      <w:r>
        <w:rPr>
          <w:rFonts w:ascii="等线" w:hAnsi="等线" w:eastAsia="等线" w:cs="Times New Roman"/>
          <w:b/>
          <w:bCs/>
          <w:color w:val="auto"/>
          <w:kern w:val="2"/>
          <w:sz w:val="21"/>
          <w:szCs w:val="22"/>
          <w:lang w:eastAsia="zh-CN" w:bidi="ar-SA"/>
        </w:rPr>
        <w:t>.</w:t>
      </w:r>
      <w:r>
        <w:rPr>
          <w:rFonts w:hint="eastAsia" w:ascii="等线" w:hAnsi="等线" w:eastAsia="等线" w:cs="Times New Roman"/>
          <w:b/>
          <w:bCs/>
          <w:color w:val="auto"/>
          <w:kern w:val="2"/>
          <w:sz w:val="21"/>
          <w:szCs w:val="22"/>
          <w:lang w:val="en-US" w:eastAsia="zh-CN" w:bidi="ar-SA"/>
        </w:rPr>
        <w:t>采购货物</w:t>
      </w:r>
      <w:r>
        <w:rPr>
          <w:rFonts w:hint="eastAsia" w:ascii="等线" w:hAnsi="等线" w:eastAsia="等线" w:cs="Times New Roman"/>
          <w:b/>
          <w:bCs/>
          <w:color w:val="auto"/>
          <w:kern w:val="2"/>
          <w:sz w:val="21"/>
          <w:szCs w:val="22"/>
          <w:lang w:eastAsia="zh-CN" w:bidi="ar-SA"/>
        </w:rPr>
        <w:t>清单</w:t>
      </w:r>
    </w:p>
    <w:tbl>
      <w:tblPr>
        <w:tblStyle w:val="3"/>
        <w:tblW w:w="87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1121"/>
        <w:gridCol w:w="3626"/>
        <w:gridCol w:w="525"/>
        <w:gridCol w:w="600"/>
        <w:gridCol w:w="154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99" w:type="dxa"/>
            <w:noWrap w:val="0"/>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编号</w:t>
            </w:r>
          </w:p>
        </w:tc>
        <w:tc>
          <w:tcPr>
            <w:tcW w:w="1121" w:type="dxa"/>
            <w:noWrap/>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名称</w:t>
            </w:r>
          </w:p>
        </w:tc>
        <w:tc>
          <w:tcPr>
            <w:tcW w:w="3626" w:type="dxa"/>
            <w:noWrap/>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技术参数</w:t>
            </w:r>
          </w:p>
        </w:tc>
        <w:tc>
          <w:tcPr>
            <w:tcW w:w="525" w:type="dxa"/>
            <w:noWrap w:val="0"/>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单位</w:t>
            </w:r>
          </w:p>
        </w:tc>
        <w:tc>
          <w:tcPr>
            <w:tcW w:w="600" w:type="dxa"/>
            <w:noWrap/>
            <w:vAlign w:val="center"/>
          </w:tcPr>
          <w:p>
            <w:pPr>
              <w:widowControl/>
              <w:jc w:val="center"/>
              <w:rPr>
                <w:rFonts w:hint="eastAsia" w:ascii="宋体" w:hAnsi="宋体" w:cs="宋体"/>
                <w:b/>
                <w:bCs/>
                <w:color w:val="000000"/>
                <w:kern w:val="0"/>
                <w:szCs w:val="21"/>
              </w:rPr>
            </w:pPr>
            <w:r>
              <w:rPr>
                <w:rFonts w:hint="eastAsia" w:ascii="宋体" w:hAnsi="宋体" w:cs="宋体"/>
                <w:b/>
                <w:bCs/>
                <w:color w:val="000000"/>
                <w:kern w:val="0"/>
                <w:szCs w:val="21"/>
              </w:rPr>
              <w:t>数量</w:t>
            </w:r>
          </w:p>
        </w:tc>
        <w:tc>
          <w:tcPr>
            <w:tcW w:w="1545" w:type="dxa"/>
            <w:noWrap/>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参考图片</w:t>
            </w:r>
          </w:p>
        </w:tc>
        <w:tc>
          <w:tcPr>
            <w:tcW w:w="850" w:type="dxa"/>
            <w:noWrap w:val="0"/>
            <w:vAlign w:val="center"/>
          </w:tcPr>
          <w:p>
            <w:pPr>
              <w:widowControl/>
              <w:jc w:val="center"/>
              <w:rPr>
                <w:rFonts w:ascii="宋体" w:cs="宋体"/>
                <w:b/>
                <w:bCs/>
                <w:color w:val="000000"/>
                <w:kern w:val="0"/>
                <w:szCs w:val="21"/>
              </w:rPr>
            </w:pPr>
            <w:r>
              <w:rPr>
                <w:rFonts w:hint="eastAsia" w:ascii="宋体" w:hAnsi="宋体" w:cs="宋体"/>
                <w:b/>
                <w:bCs/>
                <w:color w:val="000000"/>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99"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121"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跳高架</w:t>
            </w:r>
          </w:p>
        </w:tc>
        <w:tc>
          <w:tcPr>
            <w:tcW w:w="3626" w:type="dxa"/>
            <w:noWrap w:val="0"/>
            <w:vAlign w:val="center"/>
          </w:tcPr>
          <w:p>
            <w:pPr>
              <w:widowControl/>
              <w:numPr>
                <w:ilvl w:val="0"/>
                <w:numId w:val="1"/>
              </w:numPr>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型号：</w:t>
            </w:r>
            <w:r>
              <w:rPr>
                <w:rFonts w:hint="eastAsia" w:ascii="宋体" w:eastAsia="宋体" w:cs="宋体"/>
                <w:color w:val="000000"/>
                <w:kern w:val="0"/>
                <w:sz w:val="18"/>
                <w:szCs w:val="18"/>
                <w:lang w:val="en-US" w:eastAsia="zh-CN"/>
              </w:rPr>
              <w:t>FLF400</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规格：横杆高度调整范围：</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600mm-2600mm，总行程 2000mm</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重量：25kg</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颜色：金色</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材质：铝合金立柱</w:t>
            </w:r>
          </w:p>
          <w:p>
            <w:pPr>
              <w:widowControl/>
              <w:numPr>
                <w:ilvl w:val="0"/>
                <w:numId w:val="1"/>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性能：用于训练或比赛</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★国际田联认证证书.</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★中国田协审定认证证</w:t>
            </w:r>
            <w:bookmarkStart w:id="0" w:name="_GoBack"/>
            <w:bookmarkEnd w:id="0"/>
            <w:r>
              <w:rPr>
                <w:rFonts w:hint="eastAsia" w:ascii="宋体" w:eastAsia="宋体" w:cs="宋体"/>
                <w:color w:val="000000"/>
                <w:kern w:val="0"/>
                <w:sz w:val="18"/>
                <w:szCs w:val="18"/>
                <w:lang w:val="en-US" w:eastAsia="zh-CN"/>
              </w:rPr>
              <w:t>书.</w:t>
            </w:r>
          </w:p>
        </w:tc>
        <w:tc>
          <w:tcPr>
            <w:tcW w:w="525" w:type="dxa"/>
            <w:noWrap w:val="0"/>
            <w:vAlign w:val="center"/>
          </w:tcPr>
          <w:p>
            <w:pPr>
              <w:widowControl/>
              <w:jc w:val="both"/>
              <w:rPr>
                <w:rFonts w:hint="default"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套</w:t>
            </w:r>
          </w:p>
        </w:tc>
        <w:tc>
          <w:tcPr>
            <w:tcW w:w="600" w:type="dxa"/>
            <w:noWrap/>
            <w:vAlign w:val="center"/>
          </w:tcPr>
          <w:p>
            <w:pPr>
              <w:widowControl/>
              <w:jc w:val="both"/>
              <w:rPr>
                <w:rFonts w:hint="default"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545" w:type="dxa"/>
            <w:noWrap/>
            <w:vAlign w:val="center"/>
          </w:tcPr>
          <w:p>
            <w:pPr>
              <w:widowControl/>
              <w:jc w:val="center"/>
              <w:rPr>
                <w:rFonts w:hint="eastAsia" w:ascii="宋体" w:eastAsia="宋体" w:cs="宋体"/>
                <w:color w:val="000000"/>
                <w:kern w:val="0"/>
                <w:sz w:val="18"/>
                <w:szCs w:val="18"/>
                <w:lang w:val="en-US" w:eastAsia="zh-CN"/>
              </w:rPr>
            </w:pPr>
            <w:r>
              <w:rPr>
                <w:sz w:val="18"/>
                <w:szCs w:val="18"/>
              </w:rPr>
              <w:drawing>
                <wp:inline distT="0" distB="0" distL="114300" distR="114300">
                  <wp:extent cx="476250" cy="1320165"/>
                  <wp:effectExtent l="0" t="0" r="0" b="133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6250" cy="1320165"/>
                          </a:xfrm>
                          <a:prstGeom prst="rect">
                            <a:avLst/>
                          </a:prstGeom>
                          <a:noFill/>
                          <a:ln>
                            <a:noFill/>
                          </a:ln>
                        </pic:spPr>
                      </pic:pic>
                    </a:graphicData>
                  </a:graphic>
                </wp:inline>
              </w:drawing>
            </w:r>
          </w:p>
        </w:tc>
        <w:tc>
          <w:tcPr>
            <w:tcW w:w="850" w:type="dxa"/>
            <w:noWrap w:val="0"/>
            <w:vAlign w:val="center"/>
          </w:tcPr>
          <w:p>
            <w:pPr>
              <w:widowControl/>
              <w:jc w:val="center"/>
              <w:rPr>
                <w:rFonts w:hint="eastAsia" w:ascii="宋体" w:eastAsia="宋体" w:cs="宋体"/>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99"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2</w:t>
            </w:r>
          </w:p>
        </w:tc>
        <w:tc>
          <w:tcPr>
            <w:tcW w:w="1121"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跳高海绵包</w:t>
            </w:r>
          </w:p>
        </w:tc>
        <w:tc>
          <w:tcPr>
            <w:tcW w:w="3626" w:type="dxa"/>
            <w:noWrap w:val="0"/>
            <w:vAlign w:val="center"/>
          </w:tcPr>
          <w:p>
            <w:pPr>
              <w:widowControl/>
              <w:numPr>
                <w:ilvl w:val="0"/>
                <w:numId w:val="2"/>
              </w:numPr>
              <w:jc w:val="both"/>
              <w:rPr>
                <w:rFonts w:hint="eastAsia" w:ascii="宋体" w:cs="宋体"/>
                <w:color w:val="000000"/>
                <w:kern w:val="0"/>
                <w:sz w:val="18"/>
                <w:szCs w:val="18"/>
                <w:lang w:val="en-US" w:eastAsia="zh-CN"/>
              </w:rPr>
            </w:pPr>
            <w:r>
              <w:rPr>
                <w:rFonts w:hint="eastAsia" w:ascii="宋体" w:cs="宋体"/>
                <w:color w:val="000000"/>
                <w:kern w:val="0"/>
                <w:sz w:val="18"/>
                <w:szCs w:val="18"/>
                <w:lang w:val="en-US" w:eastAsia="zh-CN"/>
              </w:rPr>
              <w:t>型号：FLF420</w:t>
            </w:r>
          </w:p>
          <w:p>
            <w:pPr>
              <w:widowControl/>
              <w:numPr>
                <w:ilvl w:val="0"/>
                <w:numId w:val="2"/>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外形尺寸：长 6000mm×宽 4150mm×高 770mm</w:t>
            </w:r>
          </w:p>
          <w:p>
            <w:pPr>
              <w:widowControl/>
              <w:numPr>
                <w:ilvl w:val="0"/>
                <w:numId w:val="2"/>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颜色：桃红色和蓝色相结合</w:t>
            </w:r>
          </w:p>
          <w:p>
            <w:pPr>
              <w:widowControl/>
              <w:numPr>
                <w:ilvl w:val="0"/>
                <w:numId w:val="2"/>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材质：垫子外套采用环保 PVC 机织布和 PVC 网眼布，防踏网外套采用软网眼布，内胎采用优质超软海绵和 XPE 粘接结构</w:t>
            </w:r>
          </w:p>
          <w:p>
            <w:pPr>
              <w:widowControl/>
              <w:numPr>
                <w:ilvl w:val="0"/>
                <w:numId w:val="2"/>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产品亮点：</w:t>
            </w:r>
          </w:p>
          <w:p>
            <w:pPr>
              <w:widowControl/>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（1）</w:t>
            </w:r>
            <w:r>
              <w:rPr>
                <w:rFonts w:hint="eastAsia" w:ascii="宋体" w:eastAsia="宋体" w:cs="宋体"/>
                <w:color w:val="000000"/>
                <w:kern w:val="0"/>
                <w:sz w:val="18"/>
                <w:szCs w:val="18"/>
                <w:lang w:val="en-US" w:eastAsia="zh-CN"/>
              </w:rPr>
              <w:t>产品采用内胎底部 XPE 蜂巢结构，不怕水，重量轻，上部超软海绵也是搭桥结构，弹性好</w:t>
            </w:r>
          </w:p>
          <w:p>
            <w:pPr>
              <w:widowControl/>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（2）</w:t>
            </w:r>
            <w:r>
              <w:rPr>
                <w:rFonts w:hint="eastAsia" w:ascii="宋体" w:eastAsia="宋体" w:cs="宋体"/>
                <w:color w:val="000000"/>
                <w:kern w:val="0"/>
                <w:sz w:val="18"/>
                <w:szCs w:val="18"/>
                <w:lang w:val="en-US" w:eastAsia="zh-CN"/>
              </w:rPr>
              <w:t>产品外套采用环保 PVC 机织布，和软网眼布，垫面舒适、柔软</w:t>
            </w:r>
          </w:p>
          <w:p>
            <w:pPr>
              <w:widowControl/>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（3）</w:t>
            </w:r>
            <w:r>
              <w:rPr>
                <w:rFonts w:hint="eastAsia" w:ascii="宋体" w:eastAsia="宋体" w:cs="宋体"/>
                <w:color w:val="000000"/>
                <w:kern w:val="0"/>
                <w:sz w:val="18"/>
                <w:szCs w:val="18"/>
                <w:lang w:val="en-US" w:eastAsia="zh-CN"/>
              </w:rPr>
              <w:t>垫子上下面都网眼布，防踏网为软网眼布保证了空气的有效排出，保护运动员安全落下</w:t>
            </w:r>
          </w:p>
          <w:p>
            <w:pPr>
              <w:widowControl/>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（4）</w:t>
            </w:r>
            <w:r>
              <w:rPr>
                <w:rFonts w:hint="eastAsia" w:ascii="宋体" w:eastAsia="宋体" w:cs="宋体"/>
                <w:color w:val="000000"/>
                <w:kern w:val="0"/>
                <w:sz w:val="18"/>
                <w:szCs w:val="18"/>
                <w:lang w:val="en-US" w:eastAsia="zh-CN"/>
              </w:rPr>
              <w:t>垫子底部保险带把手，便于搬动运输</w:t>
            </w:r>
          </w:p>
          <w:p>
            <w:pPr>
              <w:widowControl/>
              <w:jc w:val="both"/>
              <w:rPr>
                <w:rFonts w:hint="eastAsia" w:ascii="宋体" w:eastAsia="宋体" w:cs="宋体"/>
                <w:color w:val="000000"/>
                <w:kern w:val="0"/>
                <w:sz w:val="18"/>
                <w:szCs w:val="18"/>
                <w:lang w:val="en-US" w:eastAsia="zh-CN"/>
              </w:rPr>
            </w:pPr>
            <w:r>
              <w:rPr>
                <w:rFonts w:hint="eastAsia" w:ascii="宋体" w:cs="宋体"/>
                <w:color w:val="000000"/>
                <w:kern w:val="0"/>
                <w:sz w:val="18"/>
                <w:szCs w:val="18"/>
                <w:lang w:val="en-US" w:eastAsia="zh-CN"/>
              </w:rPr>
              <w:t>（5）</w:t>
            </w:r>
            <w:r>
              <w:rPr>
                <w:rFonts w:hint="eastAsia" w:ascii="宋体" w:eastAsia="宋体" w:cs="宋体"/>
                <w:color w:val="000000"/>
                <w:kern w:val="0"/>
                <w:sz w:val="18"/>
                <w:szCs w:val="18"/>
                <w:lang w:val="en-US" w:eastAsia="zh-CN"/>
              </w:rPr>
              <w:t>垫子与垫子之间使用锁扣连接，防踏网与垫子之间用粘扣箍带连接，连接牢固，使垫子和防踏网成为一体，整体稳定.</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★国际田联认证证书.</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★中国田协审定认证证书.</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★提供第三方检测（检验）机构出具的XPE材料无毒、无味的检验报告。</w:t>
            </w:r>
          </w:p>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★中国环境标志(Ⅱ)产品认证证书.</w:t>
            </w:r>
          </w:p>
        </w:tc>
        <w:tc>
          <w:tcPr>
            <w:tcW w:w="525"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套</w:t>
            </w:r>
          </w:p>
        </w:tc>
        <w:tc>
          <w:tcPr>
            <w:tcW w:w="600" w:type="dxa"/>
            <w:noWrap/>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545" w:type="dxa"/>
            <w:noWrap/>
            <w:vAlign w:val="center"/>
          </w:tcPr>
          <w:p>
            <w:pPr>
              <w:widowControl/>
              <w:jc w:val="center"/>
              <w:rPr>
                <w:rFonts w:hint="eastAsia" w:ascii="宋体" w:eastAsia="宋体" w:cs="宋体"/>
                <w:color w:val="000000"/>
                <w:kern w:val="0"/>
                <w:sz w:val="18"/>
                <w:szCs w:val="18"/>
                <w:lang w:val="en-US" w:eastAsia="zh-CN"/>
              </w:rPr>
            </w:pPr>
            <w:r>
              <w:drawing>
                <wp:inline distT="0" distB="0" distL="114300" distR="114300">
                  <wp:extent cx="955675" cy="426085"/>
                  <wp:effectExtent l="0" t="0" r="15875" b="1206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955675" cy="426085"/>
                          </a:xfrm>
                          <a:prstGeom prst="rect">
                            <a:avLst/>
                          </a:prstGeom>
                          <a:noFill/>
                          <a:ln>
                            <a:noFill/>
                          </a:ln>
                        </pic:spPr>
                      </pic:pic>
                    </a:graphicData>
                  </a:graphic>
                </wp:inline>
              </w:drawing>
            </w:r>
          </w:p>
        </w:tc>
        <w:tc>
          <w:tcPr>
            <w:tcW w:w="850" w:type="dxa"/>
            <w:noWrap w:val="0"/>
            <w:vAlign w:val="center"/>
          </w:tcPr>
          <w:p>
            <w:pPr>
              <w:widowControl/>
              <w:jc w:val="center"/>
              <w:rPr>
                <w:rFonts w:hint="eastAsia" w:ascii="宋体" w:eastAsia="宋体" w:cs="宋体"/>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99"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3</w:t>
            </w:r>
          </w:p>
        </w:tc>
        <w:tc>
          <w:tcPr>
            <w:tcW w:w="1121"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跳高海绵包底架</w:t>
            </w:r>
          </w:p>
        </w:tc>
        <w:tc>
          <w:tcPr>
            <w:tcW w:w="3626" w:type="dxa"/>
            <w:noWrap w:val="0"/>
            <w:vAlign w:val="center"/>
          </w:tcPr>
          <w:p>
            <w:pPr>
              <w:widowControl/>
              <w:numPr>
                <w:ilvl w:val="0"/>
                <w:numId w:val="3"/>
              </w:numPr>
              <w:jc w:val="both"/>
              <w:rPr>
                <w:rFonts w:hint="eastAsia" w:ascii="宋体" w:cs="宋体"/>
                <w:color w:val="000000"/>
                <w:kern w:val="0"/>
                <w:sz w:val="18"/>
                <w:szCs w:val="18"/>
                <w:lang w:val="en-US" w:eastAsia="zh-CN"/>
              </w:rPr>
            </w:pPr>
            <w:r>
              <w:rPr>
                <w:rFonts w:hint="eastAsia" w:ascii="宋体" w:cs="宋体"/>
                <w:color w:val="000000"/>
                <w:kern w:val="0"/>
                <w:sz w:val="18"/>
                <w:szCs w:val="18"/>
                <w:lang w:val="en-US" w:eastAsia="zh-CN"/>
              </w:rPr>
              <w:t>型号：T011254</w:t>
            </w:r>
          </w:p>
          <w:p>
            <w:pPr>
              <w:widowControl/>
              <w:numPr>
                <w:ilvl w:val="0"/>
                <w:numId w:val="3"/>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规格：3800mm×5800mm×100mm</w:t>
            </w:r>
          </w:p>
          <w:p>
            <w:pPr>
              <w:widowControl/>
              <w:numPr>
                <w:ilvl w:val="0"/>
                <w:numId w:val="3"/>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 xml:space="preserve">颜色：金属本色 </w:t>
            </w:r>
          </w:p>
          <w:p>
            <w:pPr>
              <w:widowControl/>
              <w:numPr>
                <w:ilvl w:val="0"/>
                <w:numId w:val="3"/>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材质：铝合金</w:t>
            </w:r>
          </w:p>
          <w:p>
            <w:pPr>
              <w:widowControl/>
              <w:numPr>
                <w:ilvl w:val="0"/>
                <w:numId w:val="3"/>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性能：与 6000mm×4150mm 跳高海绵包配套使用，</w:t>
            </w:r>
          </w:p>
          <w:p>
            <w:pPr>
              <w:widowControl/>
              <w:numPr>
                <w:ilvl w:val="0"/>
                <w:numId w:val="3"/>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防水防风透气，保护海绵包，延长使用寿命。</w:t>
            </w:r>
          </w:p>
        </w:tc>
        <w:tc>
          <w:tcPr>
            <w:tcW w:w="525" w:type="dxa"/>
            <w:noWrap w:val="0"/>
            <w:vAlign w:val="center"/>
          </w:tcPr>
          <w:p>
            <w:pPr>
              <w:widowControl/>
              <w:jc w:val="both"/>
              <w:rPr>
                <w:rFonts w:hint="default"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件</w:t>
            </w:r>
          </w:p>
        </w:tc>
        <w:tc>
          <w:tcPr>
            <w:tcW w:w="600" w:type="dxa"/>
            <w:noWrap/>
            <w:vAlign w:val="center"/>
          </w:tcPr>
          <w:p>
            <w:pPr>
              <w:widowControl/>
              <w:jc w:val="both"/>
              <w:rPr>
                <w:rFonts w:hint="default"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545" w:type="dxa"/>
            <w:noWrap/>
            <w:vAlign w:val="center"/>
          </w:tcPr>
          <w:p>
            <w:pPr>
              <w:widowControl/>
              <w:jc w:val="center"/>
              <w:rPr>
                <w:rFonts w:hint="eastAsia" w:ascii="宋体" w:eastAsia="宋体" w:cs="宋体"/>
                <w:color w:val="000000"/>
                <w:kern w:val="0"/>
                <w:sz w:val="18"/>
                <w:szCs w:val="18"/>
                <w:lang w:val="en-US" w:eastAsia="zh-CN"/>
              </w:rPr>
            </w:pPr>
            <w:r>
              <w:drawing>
                <wp:inline distT="0" distB="0" distL="114300" distR="114300">
                  <wp:extent cx="920750" cy="374015"/>
                  <wp:effectExtent l="0" t="0" r="12700" b="698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tretch>
                            <a:fillRect/>
                          </a:stretch>
                        </pic:blipFill>
                        <pic:spPr>
                          <a:xfrm>
                            <a:off x="0" y="0"/>
                            <a:ext cx="920750" cy="374015"/>
                          </a:xfrm>
                          <a:prstGeom prst="rect">
                            <a:avLst/>
                          </a:prstGeom>
                          <a:noFill/>
                          <a:ln>
                            <a:noFill/>
                          </a:ln>
                        </pic:spPr>
                      </pic:pic>
                    </a:graphicData>
                  </a:graphic>
                </wp:inline>
              </w:drawing>
            </w:r>
          </w:p>
        </w:tc>
        <w:tc>
          <w:tcPr>
            <w:tcW w:w="850" w:type="dxa"/>
            <w:noWrap w:val="0"/>
            <w:vAlign w:val="center"/>
          </w:tcPr>
          <w:p>
            <w:pPr>
              <w:widowControl/>
              <w:jc w:val="center"/>
              <w:rPr>
                <w:rFonts w:hint="eastAsia" w:ascii="宋体" w:eastAsia="宋体" w:cs="宋体"/>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99"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4</w:t>
            </w:r>
          </w:p>
        </w:tc>
        <w:tc>
          <w:tcPr>
            <w:tcW w:w="1121"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钢制跳高海绵包护棚</w:t>
            </w:r>
          </w:p>
        </w:tc>
        <w:tc>
          <w:tcPr>
            <w:tcW w:w="3626" w:type="dxa"/>
            <w:noWrap w:val="0"/>
            <w:vAlign w:val="center"/>
          </w:tcPr>
          <w:p>
            <w:pPr>
              <w:widowControl/>
              <w:numPr>
                <w:ilvl w:val="0"/>
                <w:numId w:val="4"/>
              </w:numPr>
              <w:jc w:val="both"/>
              <w:rPr>
                <w:rFonts w:hint="eastAsia" w:ascii="宋体" w:cs="宋体"/>
                <w:color w:val="000000"/>
                <w:kern w:val="0"/>
                <w:sz w:val="18"/>
                <w:szCs w:val="18"/>
                <w:lang w:val="en-US" w:eastAsia="zh-CN"/>
              </w:rPr>
            </w:pPr>
            <w:r>
              <w:rPr>
                <w:rFonts w:hint="eastAsia" w:ascii="宋体" w:cs="宋体"/>
                <w:color w:val="000000"/>
                <w:kern w:val="0"/>
                <w:sz w:val="18"/>
                <w:szCs w:val="18"/>
                <w:lang w:val="en-US" w:eastAsia="zh-CN"/>
              </w:rPr>
              <w:t>型号：T02104B</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规格：6000mm×4150mm 海绵包用</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重量：约 800kg</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 xml:space="preserve">颜色：蓝色 </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材质：优质焊接钢管</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性能：本产品做 为海绵包用辅助器材，主要应用于</w:t>
            </w:r>
          </w:p>
          <w:p>
            <w:pPr>
              <w:widowControl/>
              <w:numPr>
                <w:ilvl w:val="0"/>
                <w:numId w:val="4"/>
              </w:numPr>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海绵包的遮盖防护，框架底部带脚轮，移动方便灵活。</w:t>
            </w:r>
          </w:p>
        </w:tc>
        <w:tc>
          <w:tcPr>
            <w:tcW w:w="525"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套</w:t>
            </w:r>
          </w:p>
        </w:tc>
        <w:tc>
          <w:tcPr>
            <w:tcW w:w="600" w:type="dxa"/>
            <w:noWrap/>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545" w:type="dxa"/>
            <w:noWrap/>
            <w:vAlign w:val="center"/>
          </w:tcPr>
          <w:p>
            <w:pPr>
              <w:widowControl/>
              <w:jc w:val="center"/>
              <w:rPr>
                <w:rFonts w:hint="eastAsia" w:ascii="宋体" w:eastAsia="宋体" w:cs="宋体"/>
                <w:color w:val="000000"/>
                <w:kern w:val="0"/>
                <w:sz w:val="18"/>
                <w:szCs w:val="18"/>
                <w:lang w:val="en-US" w:eastAsia="zh-CN"/>
              </w:rPr>
            </w:pPr>
            <w:r>
              <w:drawing>
                <wp:inline distT="0" distB="0" distL="114300" distR="114300">
                  <wp:extent cx="958215" cy="497840"/>
                  <wp:effectExtent l="0" t="0" r="13335" b="165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7"/>
                          <a:stretch>
                            <a:fillRect/>
                          </a:stretch>
                        </pic:blipFill>
                        <pic:spPr>
                          <a:xfrm>
                            <a:off x="0" y="0"/>
                            <a:ext cx="958215" cy="497840"/>
                          </a:xfrm>
                          <a:prstGeom prst="rect">
                            <a:avLst/>
                          </a:prstGeom>
                          <a:noFill/>
                          <a:ln>
                            <a:noFill/>
                          </a:ln>
                        </pic:spPr>
                      </pic:pic>
                    </a:graphicData>
                  </a:graphic>
                </wp:inline>
              </w:drawing>
            </w:r>
          </w:p>
        </w:tc>
        <w:tc>
          <w:tcPr>
            <w:tcW w:w="850" w:type="dxa"/>
            <w:noWrap w:val="0"/>
            <w:vAlign w:val="center"/>
          </w:tcPr>
          <w:p>
            <w:pPr>
              <w:widowControl/>
              <w:jc w:val="center"/>
              <w:rPr>
                <w:rFonts w:hint="eastAsia" w:ascii="宋体" w:eastAsia="宋体" w:cs="宋体"/>
                <w:color w:val="000000"/>
                <w:kern w:val="0"/>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99"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5</w:t>
            </w:r>
          </w:p>
        </w:tc>
        <w:tc>
          <w:tcPr>
            <w:tcW w:w="1121"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跳高横杆</w:t>
            </w:r>
          </w:p>
        </w:tc>
        <w:tc>
          <w:tcPr>
            <w:tcW w:w="3626" w:type="dxa"/>
            <w:noWrap w:val="0"/>
            <w:vAlign w:val="center"/>
          </w:tcPr>
          <w:p>
            <w:pPr>
              <w:widowControl/>
              <w:numPr>
                <w:ilvl w:val="0"/>
                <w:numId w:val="5"/>
              </w:numPr>
              <w:jc w:val="both"/>
              <w:rPr>
                <w:rFonts w:hint="default" w:ascii="宋体" w:eastAsia="宋体" w:cs="宋体"/>
                <w:color w:val="000000"/>
                <w:kern w:val="0"/>
                <w:sz w:val="18"/>
                <w:szCs w:val="18"/>
                <w:lang w:val="en-US" w:eastAsia="zh-CN"/>
              </w:rPr>
            </w:pPr>
            <w:r>
              <w:rPr>
                <w:rFonts w:hint="default" w:ascii="宋体" w:eastAsia="宋体" w:cs="宋体"/>
                <w:color w:val="000000"/>
                <w:kern w:val="0"/>
                <w:sz w:val="18"/>
                <w:szCs w:val="18"/>
                <w:lang w:val="en-US" w:eastAsia="zh-CN"/>
              </w:rPr>
              <w:t>型号:FLF410</w:t>
            </w:r>
          </w:p>
          <w:p>
            <w:pPr>
              <w:widowControl/>
              <w:numPr>
                <w:ilvl w:val="0"/>
                <w:numId w:val="5"/>
              </w:numPr>
              <w:jc w:val="both"/>
              <w:rPr>
                <w:rFonts w:hint="eastAsia" w:ascii="宋体" w:eastAsia="宋体" w:cs="宋体"/>
                <w:color w:val="000000"/>
                <w:kern w:val="0"/>
                <w:sz w:val="18"/>
                <w:szCs w:val="18"/>
                <w:lang w:val="en-US" w:eastAsia="zh-CN"/>
              </w:rPr>
            </w:pPr>
            <w:r>
              <w:rPr>
                <w:rFonts w:hint="default" w:ascii="宋体" w:eastAsia="宋体" w:cs="宋体"/>
                <w:color w:val="000000"/>
                <w:kern w:val="0"/>
                <w:sz w:val="18"/>
                <w:szCs w:val="18"/>
                <w:lang w:val="en-US" w:eastAsia="zh-CN"/>
              </w:rPr>
              <w:t>规格:4000mm重量:2kg</w:t>
            </w:r>
          </w:p>
          <w:p>
            <w:pPr>
              <w:widowControl/>
              <w:numPr>
                <w:ilvl w:val="0"/>
                <w:numId w:val="5"/>
              </w:numPr>
              <w:jc w:val="both"/>
              <w:rPr>
                <w:rFonts w:hint="eastAsia" w:ascii="宋体" w:eastAsia="宋体" w:cs="宋体"/>
                <w:color w:val="000000"/>
                <w:kern w:val="0"/>
                <w:sz w:val="18"/>
                <w:szCs w:val="18"/>
                <w:lang w:val="en-US" w:eastAsia="zh-CN"/>
              </w:rPr>
            </w:pPr>
            <w:r>
              <w:rPr>
                <w:rFonts w:hint="default" w:ascii="宋体" w:eastAsia="宋体" w:cs="宋体"/>
                <w:color w:val="000000"/>
                <w:kern w:val="0"/>
                <w:sz w:val="18"/>
                <w:szCs w:val="18"/>
                <w:lang w:val="en-US" w:eastAsia="zh-CN"/>
              </w:rPr>
              <w:t>颜色:红黄相间</w:t>
            </w:r>
          </w:p>
          <w:p>
            <w:pPr>
              <w:widowControl/>
              <w:numPr>
                <w:ilvl w:val="0"/>
                <w:numId w:val="5"/>
              </w:numPr>
              <w:jc w:val="both"/>
              <w:rPr>
                <w:rFonts w:hint="eastAsia" w:ascii="宋体" w:eastAsia="宋体" w:cs="宋体"/>
                <w:color w:val="000000"/>
                <w:kern w:val="0"/>
                <w:sz w:val="18"/>
                <w:szCs w:val="18"/>
                <w:lang w:val="en-US" w:eastAsia="zh-CN"/>
              </w:rPr>
            </w:pPr>
            <w:r>
              <w:rPr>
                <w:rFonts w:hint="default" w:ascii="宋体" w:eastAsia="宋体" w:cs="宋体"/>
                <w:color w:val="000000"/>
                <w:kern w:val="0"/>
                <w:sz w:val="18"/>
                <w:szCs w:val="18"/>
                <w:lang w:val="en-US" w:eastAsia="zh-CN"/>
              </w:rPr>
              <w:t>材质:玻璃纤维</w:t>
            </w:r>
          </w:p>
          <w:p>
            <w:pPr>
              <w:widowControl/>
              <w:numPr>
                <w:ilvl w:val="0"/>
                <w:numId w:val="5"/>
              </w:numPr>
              <w:jc w:val="both"/>
              <w:rPr>
                <w:rFonts w:hint="eastAsia" w:ascii="宋体" w:eastAsia="宋体" w:cs="宋体"/>
                <w:color w:val="000000"/>
                <w:kern w:val="0"/>
                <w:sz w:val="18"/>
                <w:szCs w:val="18"/>
                <w:lang w:val="en-US" w:eastAsia="zh-CN"/>
              </w:rPr>
            </w:pPr>
            <w:r>
              <w:rPr>
                <w:rFonts w:hint="default" w:ascii="宋体" w:eastAsia="宋体" w:cs="宋体"/>
                <w:color w:val="000000"/>
                <w:kern w:val="0"/>
                <w:sz w:val="18"/>
                <w:szCs w:val="18"/>
                <w:lang w:val="en-US" w:eastAsia="zh-CN"/>
              </w:rPr>
              <w:t>性能:用于训练或比赛</w:t>
            </w:r>
            <w:r>
              <w:rPr>
                <w:rFonts w:hint="default" w:ascii="宋体" w:eastAsia="宋体" w:cs="宋体"/>
                <w:color w:val="000000"/>
                <w:kern w:val="0"/>
                <w:sz w:val="18"/>
                <w:szCs w:val="18"/>
                <w:lang w:val="en-US" w:eastAsia="zh-CN"/>
              </w:rPr>
              <w:br w:type="textWrapping"/>
            </w:r>
            <w:r>
              <w:rPr>
                <w:rFonts w:hint="default" w:ascii="宋体" w:eastAsia="宋体" w:cs="宋体"/>
                <w:color w:val="000000"/>
                <w:kern w:val="0"/>
                <w:sz w:val="18"/>
                <w:szCs w:val="18"/>
                <w:lang w:val="en-US" w:eastAsia="zh-CN"/>
              </w:rPr>
              <w:t>★国际田联认证证书.</w:t>
            </w:r>
            <w:r>
              <w:rPr>
                <w:rFonts w:hint="default" w:ascii="宋体" w:eastAsia="宋体" w:cs="宋体"/>
                <w:color w:val="000000"/>
                <w:kern w:val="0"/>
                <w:sz w:val="18"/>
                <w:szCs w:val="18"/>
                <w:lang w:val="en-US" w:eastAsia="zh-CN"/>
              </w:rPr>
              <w:br w:type="textWrapping"/>
            </w:r>
            <w:r>
              <w:rPr>
                <w:rFonts w:hint="default" w:ascii="宋体" w:eastAsia="宋体" w:cs="宋体"/>
                <w:color w:val="000000"/>
                <w:kern w:val="0"/>
                <w:sz w:val="18"/>
                <w:szCs w:val="18"/>
                <w:lang w:val="en-US" w:eastAsia="zh-CN"/>
              </w:rPr>
              <w:t>★中国田协审定认证证书.</w:t>
            </w:r>
          </w:p>
        </w:tc>
        <w:tc>
          <w:tcPr>
            <w:tcW w:w="525" w:type="dxa"/>
            <w:noWrap w:val="0"/>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套</w:t>
            </w:r>
          </w:p>
        </w:tc>
        <w:tc>
          <w:tcPr>
            <w:tcW w:w="600" w:type="dxa"/>
            <w:noWrap/>
            <w:vAlign w:val="center"/>
          </w:tcPr>
          <w:p>
            <w:pPr>
              <w:widowControl/>
              <w:jc w:val="both"/>
              <w:rPr>
                <w:rFonts w:hint="eastAsia" w:ascii="宋体" w:eastAsia="宋体" w:cs="宋体"/>
                <w:color w:val="000000"/>
                <w:kern w:val="0"/>
                <w:sz w:val="18"/>
                <w:szCs w:val="18"/>
                <w:lang w:val="en-US" w:eastAsia="zh-CN"/>
              </w:rPr>
            </w:pPr>
            <w:r>
              <w:rPr>
                <w:rFonts w:hint="eastAsia" w:ascii="宋体" w:eastAsia="宋体" w:cs="宋体"/>
                <w:color w:val="000000"/>
                <w:kern w:val="0"/>
                <w:sz w:val="18"/>
                <w:szCs w:val="18"/>
                <w:lang w:val="en-US" w:eastAsia="zh-CN"/>
              </w:rPr>
              <w:t>1</w:t>
            </w:r>
          </w:p>
        </w:tc>
        <w:tc>
          <w:tcPr>
            <w:tcW w:w="1545" w:type="dxa"/>
            <w:noWrap/>
            <w:vAlign w:val="center"/>
          </w:tcPr>
          <w:p>
            <w:pPr>
              <w:widowControl/>
              <w:jc w:val="center"/>
              <w:rPr>
                <w:rFonts w:hint="eastAsia" w:ascii="宋体" w:eastAsia="宋体" w:cs="宋体"/>
                <w:color w:val="000000"/>
                <w:kern w:val="0"/>
                <w:sz w:val="18"/>
                <w:szCs w:val="18"/>
                <w:lang w:val="en-US" w:eastAsia="zh-CN"/>
              </w:rPr>
            </w:pPr>
            <w:r>
              <w:drawing>
                <wp:inline distT="0" distB="0" distL="114300" distR="114300">
                  <wp:extent cx="880745" cy="553085"/>
                  <wp:effectExtent l="0" t="0" r="14605" b="18415"/>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pic:cNvPicPr>
                        </pic:nvPicPr>
                        <pic:blipFill>
                          <a:blip r:embed="rId8"/>
                          <a:stretch>
                            <a:fillRect/>
                          </a:stretch>
                        </pic:blipFill>
                        <pic:spPr>
                          <a:xfrm>
                            <a:off x="0" y="0"/>
                            <a:ext cx="880745" cy="553085"/>
                          </a:xfrm>
                          <a:prstGeom prst="rect">
                            <a:avLst/>
                          </a:prstGeom>
                          <a:noFill/>
                          <a:ln>
                            <a:noFill/>
                          </a:ln>
                        </pic:spPr>
                      </pic:pic>
                    </a:graphicData>
                  </a:graphic>
                </wp:inline>
              </w:drawing>
            </w:r>
          </w:p>
        </w:tc>
        <w:tc>
          <w:tcPr>
            <w:tcW w:w="850" w:type="dxa"/>
            <w:noWrap w:val="0"/>
            <w:vAlign w:val="center"/>
          </w:tcPr>
          <w:p>
            <w:pPr>
              <w:widowControl/>
              <w:jc w:val="center"/>
              <w:rPr>
                <w:rFonts w:hint="eastAsia" w:ascii="宋体" w:eastAsia="宋体" w:cs="宋体"/>
                <w:color w:val="000000"/>
                <w:kern w:val="0"/>
                <w:sz w:val="18"/>
                <w:szCs w:val="18"/>
                <w:lang w:val="en-US" w:eastAsia="zh-CN"/>
              </w:rPr>
            </w:pPr>
          </w:p>
        </w:tc>
      </w:tr>
    </w:tbl>
    <w:p>
      <w:pPr>
        <w:spacing w:line="360" w:lineRule="auto"/>
        <w:jc w:val="both"/>
        <w:rPr>
          <w:rFonts w:ascii="等线" w:hAnsi="等线" w:eastAsia="等线" w:cs="Times New Roman"/>
          <w:b/>
          <w:bCs/>
          <w:color w:val="auto"/>
          <w:kern w:val="2"/>
          <w:sz w:val="21"/>
          <w:szCs w:val="22"/>
          <w:lang w:eastAsia="zh-CN" w:bidi="ar-SA"/>
        </w:rPr>
      </w:pPr>
    </w:p>
    <w:p>
      <w:pPr>
        <w:spacing w:line="360" w:lineRule="auto"/>
        <w:jc w:val="both"/>
        <w:rPr>
          <w:rFonts w:ascii="等线" w:hAnsi="等线" w:eastAsia="等线" w:cs="Times New Roman"/>
          <w:b/>
          <w:bCs/>
          <w:color w:val="auto"/>
          <w:kern w:val="2"/>
          <w:sz w:val="21"/>
          <w:szCs w:val="22"/>
          <w:lang w:eastAsia="zh-CN" w:bidi="ar-SA"/>
        </w:rPr>
      </w:pPr>
      <w:r>
        <w:rPr>
          <w:rFonts w:ascii="等线" w:hAnsi="等线" w:eastAsia="等线" w:cs="Times New Roman"/>
          <w:b/>
          <w:bCs/>
          <w:color w:val="auto"/>
          <w:kern w:val="2"/>
          <w:sz w:val="21"/>
          <w:szCs w:val="22"/>
          <w:lang w:eastAsia="zh-CN" w:bidi="ar-SA"/>
        </w:rPr>
        <w:t>3</w:t>
      </w:r>
      <w:r>
        <w:rPr>
          <w:rFonts w:hint="eastAsia" w:ascii="等线" w:hAnsi="等线" w:eastAsia="等线" w:cs="Times New Roman"/>
          <w:b/>
          <w:bCs/>
          <w:color w:val="auto"/>
          <w:kern w:val="2"/>
          <w:sz w:val="21"/>
          <w:szCs w:val="22"/>
          <w:lang w:eastAsia="zh-CN" w:bidi="ar-SA"/>
        </w:rPr>
        <w:t>.完成时间（实质性要求）：</w:t>
      </w:r>
    </w:p>
    <w:p>
      <w:pPr>
        <w:spacing w:line="360" w:lineRule="auto"/>
        <w:ind w:firstLine="420" w:firstLineChars="200"/>
        <w:jc w:val="both"/>
        <w:rPr>
          <w:rFonts w:ascii="等线" w:hAnsi="等线" w:eastAsia="等线" w:cs="Times New Roman"/>
          <w:b/>
          <w:bCs/>
          <w:color w:val="auto"/>
          <w:kern w:val="2"/>
          <w:sz w:val="21"/>
          <w:szCs w:val="22"/>
          <w:lang w:eastAsia="zh-CN" w:bidi="ar-SA"/>
        </w:rPr>
      </w:pPr>
      <w:r>
        <w:rPr>
          <w:rFonts w:hint="eastAsia" w:ascii="等线" w:hAnsi="等线" w:eastAsia="等线" w:cs="Times New Roman"/>
          <w:color w:val="auto"/>
          <w:kern w:val="2"/>
          <w:sz w:val="21"/>
          <w:szCs w:val="22"/>
          <w:lang w:eastAsia="zh-CN" w:bidi="ar-SA"/>
        </w:rPr>
        <w:t>202</w:t>
      </w:r>
      <w:r>
        <w:rPr>
          <w:rFonts w:hint="eastAsia" w:ascii="等线" w:hAnsi="等线" w:eastAsia="等线" w:cs="Times New Roman"/>
          <w:color w:val="auto"/>
          <w:kern w:val="2"/>
          <w:sz w:val="21"/>
          <w:szCs w:val="22"/>
          <w:lang w:val="en-US" w:eastAsia="zh-CN" w:bidi="ar-SA"/>
        </w:rPr>
        <w:t>3</w:t>
      </w:r>
      <w:r>
        <w:rPr>
          <w:rFonts w:hint="eastAsia" w:ascii="等线" w:hAnsi="等线" w:eastAsia="等线" w:cs="Times New Roman"/>
          <w:color w:val="auto"/>
          <w:kern w:val="2"/>
          <w:sz w:val="21"/>
          <w:szCs w:val="22"/>
          <w:lang w:eastAsia="zh-CN" w:bidi="ar-SA"/>
        </w:rPr>
        <w:t>年</w:t>
      </w:r>
      <w:r>
        <w:rPr>
          <w:rFonts w:hint="eastAsia" w:ascii="等线" w:hAnsi="等线" w:eastAsia="等线" w:cs="Times New Roman"/>
          <w:color w:val="auto"/>
          <w:kern w:val="2"/>
          <w:sz w:val="21"/>
          <w:szCs w:val="22"/>
          <w:lang w:val="en-US" w:eastAsia="zh-CN" w:bidi="ar-SA"/>
        </w:rPr>
        <w:t>10</w:t>
      </w:r>
      <w:r>
        <w:rPr>
          <w:rFonts w:hint="eastAsia" w:ascii="等线" w:hAnsi="等线" w:eastAsia="等线" w:cs="Times New Roman"/>
          <w:color w:val="auto"/>
          <w:kern w:val="2"/>
          <w:sz w:val="21"/>
          <w:szCs w:val="22"/>
          <w:lang w:eastAsia="zh-CN" w:bidi="ar-SA"/>
        </w:rPr>
        <w:t>月</w:t>
      </w:r>
      <w:r>
        <w:rPr>
          <w:rFonts w:hint="eastAsia" w:ascii="等线" w:hAnsi="等线" w:eastAsia="等线" w:cs="Times New Roman"/>
          <w:color w:val="auto"/>
          <w:kern w:val="2"/>
          <w:sz w:val="21"/>
          <w:szCs w:val="22"/>
          <w:lang w:val="en-US" w:eastAsia="zh-CN" w:bidi="ar-SA"/>
        </w:rPr>
        <w:t>17</w:t>
      </w:r>
      <w:r>
        <w:rPr>
          <w:rFonts w:hint="eastAsia" w:ascii="等线" w:hAnsi="等线" w:eastAsia="等线" w:cs="Times New Roman"/>
          <w:color w:val="auto"/>
          <w:kern w:val="2"/>
          <w:sz w:val="21"/>
          <w:szCs w:val="22"/>
          <w:lang w:eastAsia="zh-CN" w:bidi="ar-SA"/>
        </w:rPr>
        <w:t>日前</w:t>
      </w:r>
      <w:r>
        <w:rPr>
          <w:rFonts w:hint="eastAsia" w:ascii="等线" w:hAnsi="等线" w:eastAsia="等线" w:cs="Times New Roman"/>
          <w:color w:val="auto"/>
          <w:kern w:val="2"/>
          <w:sz w:val="21"/>
          <w:szCs w:val="22"/>
          <w:lang w:val="en-US" w:eastAsia="zh-CN" w:bidi="ar-SA"/>
        </w:rPr>
        <w:t>送货到西昌学院安宁校区体育学院，并</w:t>
      </w:r>
      <w:r>
        <w:rPr>
          <w:rFonts w:hint="eastAsia" w:ascii="等线" w:hAnsi="等线" w:eastAsia="等线" w:cs="Times New Roman"/>
          <w:color w:val="auto"/>
          <w:kern w:val="2"/>
          <w:sz w:val="21"/>
          <w:szCs w:val="22"/>
          <w:lang w:eastAsia="zh-CN" w:bidi="ar-SA"/>
        </w:rPr>
        <w:t>完成</w:t>
      </w:r>
      <w:r>
        <w:rPr>
          <w:rFonts w:hint="eastAsia" w:ascii="等线" w:hAnsi="等线" w:eastAsia="等线" w:cs="Times New Roman"/>
          <w:color w:val="auto"/>
          <w:kern w:val="2"/>
          <w:sz w:val="21"/>
          <w:szCs w:val="22"/>
          <w:lang w:val="en-US" w:eastAsia="zh-CN" w:bidi="ar-SA"/>
        </w:rPr>
        <w:t>安装调试</w:t>
      </w:r>
      <w:r>
        <w:rPr>
          <w:rFonts w:hint="eastAsia" w:ascii="等线" w:hAnsi="等线" w:eastAsia="等线" w:cs="Times New Roman"/>
          <w:color w:val="auto"/>
          <w:kern w:val="2"/>
          <w:sz w:val="21"/>
          <w:szCs w:val="22"/>
          <w:lang w:eastAsia="zh-CN" w:bidi="ar-SA"/>
        </w:rPr>
        <w:t>。</w:t>
      </w:r>
    </w:p>
    <w:p>
      <w:pPr>
        <w:pStyle w:val="2"/>
        <w:spacing w:line="360" w:lineRule="auto"/>
        <w:rPr>
          <w:rFonts w:ascii="等线" w:hAnsi="等线" w:eastAsia="等线" w:cs="Times New Roman"/>
          <w:b/>
          <w:bCs/>
          <w:szCs w:val="22"/>
        </w:rPr>
      </w:pPr>
      <w:r>
        <w:rPr>
          <w:rFonts w:ascii="等线" w:hAnsi="等线" w:eastAsia="等线" w:cs="Times New Roman"/>
          <w:b/>
          <w:bCs/>
          <w:szCs w:val="22"/>
        </w:rPr>
        <w:t>4</w:t>
      </w:r>
      <w:r>
        <w:rPr>
          <w:rFonts w:hint="eastAsia" w:ascii="等线" w:hAnsi="等线" w:eastAsia="等线" w:cs="Times New Roman"/>
          <w:b/>
          <w:bCs/>
          <w:szCs w:val="22"/>
        </w:rPr>
        <w:t>.履约保证金（实质性要求）：</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收取金额：本项目收取中标金额的5%。</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收取时间：确定中标供应商后，合同签订前。</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收取方式：银行转账。</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账户名：西昌学院</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账号：22631301040005893</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开户行：中国农业银行股份有限公司西昌西城支行</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开户行行号：103684063131</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退还时间：合同各项义务完成后，由采购人无息退还。</w:t>
      </w:r>
    </w:p>
    <w:p>
      <w:pPr>
        <w:pStyle w:val="2"/>
        <w:spacing w:line="360" w:lineRule="auto"/>
        <w:rPr>
          <w:rFonts w:ascii="等线" w:hAnsi="等线" w:eastAsia="等线" w:cs="Times New Roman"/>
          <w:b/>
          <w:bCs/>
          <w:szCs w:val="22"/>
        </w:rPr>
      </w:pPr>
      <w:r>
        <w:rPr>
          <w:rFonts w:ascii="等线" w:hAnsi="等线" w:eastAsia="等线" w:cs="Times New Roman"/>
          <w:b/>
          <w:bCs/>
          <w:szCs w:val="22"/>
        </w:rPr>
        <w:t>5</w:t>
      </w:r>
      <w:r>
        <w:rPr>
          <w:rFonts w:hint="eastAsia" w:ascii="等线" w:hAnsi="等线" w:eastAsia="等线" w:cs="Times New Roman"/>
          <w:b/>
          <w:bCs/>
          <w:szCs w:val="22"/>
        </w:rPr>
        <w:t>.</w:t>
      </w:r>
      <w:r>
        <w:rPr>
          <w:rFonts w:hint="eastAsia" w:ascii="等线" w:hAnsi="等线" w:eastAsia="等线" w:cs="Times New Roman"/>
          <w:b/>
          <w:bCs/>
          <w:szCs w:val="22"/>
          <w:lang w:val="en-US" w:eastAsia="zh-CN"/>
        </w:rPr>
        <w:t>验收、</w:t>
      </w:r>
      <w:r>
        <w:rPr>
          <w:rFonts w:hint="eastAsia" w:ascii="等线" w:hAnsi="等线" w:eastAsia="等线" w:cs="Times New Roman"/>
          <w:b/>
          <w:bCs/>
          <w:szCs w:val="22"/>
        </w:rPr>
        <w:t>付款方式（实质性要求）：</w:t>
      </w:r>
    </w:p>
    <w:p>
      <w:pPr>
        <w:pStyle w:val="2"/>
        <w:spacing w:line="360" w:lineRule="auto"/>
        <w:ind w:firstLine="420" w:firstLineChars="200"/>
        <w:rPr>
          <w:rFonts w:ascii="等线" w:hAnsi="等线" w:eastAsia="等线" w:cs="Times New Roman"/>
          <w:szCs w:val="22"/>
        </w:rPr>
      </w:pPr>
      <w:r>
        <w:rPr>
          <w:rFonts w:hint="eastAsia" w:ascii="等线" w:hAnsi="等线" w:eastAsia="等线" w:cs="Times New Roman"/>
          <w:szCs w:val="22"/>
        </w:rPr>
        <w:t>服务项目</w:t>
      </w:r>
      <w:r>
        <w:rPr>
          <w:rFonts w:hint="eastAsia" w:ascii="等线" w:hAnsi="等线" w:eastAsia="等线" w:cs="Times New Roman"/>
          <w:szCs w:val="22"/>
          <w:lang w:val="en-US" w:eastAsia="zh-CN"/>
        </w:rPr>
        <w:t>安装完成，比赛完成后</w:t>
      </w:r>
      <w:r>
        <w:rPr>
          <w:rFonts w:hint="eastAsia" w:ascii="等线" w:hAnsi="等线" w:eastAsia="等线" w:cs="Times New Roman"/>
          <w:szCs w:val="22"/>
        </w:rPr>
        <w:t>并验收合格后支付供应商全款。</w:t>
      </w:r>
    </w:p>
    <w:p>
      <w:pPr>
        <w:pStyle w:val="2"/>
        <w:spacing w:line="360" w:lineRule="auto"/>
        <w:rPr>
          <w:rFonts w:hint="eastAsia" w:ascii="等线" w:hAnsi="等线" w:eastAsia="等线" w:cs="Times New Roman"/>
          <w:b/>
          <w:bCs/>
          <w:szCs w:val="22"/>
          <w:lang w:val="en-US" w:eastAsia="zh-CN"/>
        </w:rPr>
      </w:pPr>
      <w:r>
        <w:rPr>
          <w:rFonts w:ascii="等线" w:hAnsi="等线" w:eastAsia="等线" w:cs="Times New Roman"/>
          <w:b/>
          <w:bCs/>
          <w:szCs w:val="22"/>
        </w:rPr>
        <w:t>6</w:t>
      </w:r>
      <w:r>
        <w:rPr>
          <w:rFonts w:hint="eastAsia" w:ascii="等线" w:hAnsi="等线" w:eastAsia="等线" w:cs="Times New Roman"/>
          <w:b/>
          <w:bCs/>
          <w:szCs w:val="22"/>
        </w:rPr>
        <w:t>.</w:t>
      </w:r>
      <w:r>
        <w:rPr>
          <w:rFonts w:hint="eastAsia" w:ascii="等线" w:hAnsi="等线" w:eastAsia="等线" w:cs="Times New Roman"/>
          <w:b/>
          <w:bCs/>
          <w:szCs w:val="22"/>
          <w:lang w:val="en-US" w:eastAsia="zh-CN"/>
        </w:rPr>
        <w:t>质保期</w:t>
      </w:r>
      <w:r>
        <w:rPr>
          <w:rFonts w:hint="eastAsia" w:ascii="等线" w:hAnsi="等线" w:eastAsia="等线" w:cs="Times New Roman"/>
          <w:b/>
          <w:bCs/>
          <w:szCs w:val="22"/>
        </w:rPr>
        <w:t>（实质性要求）</w:t>
      </w:r>
    </w:p>
    <w:p>
      <w:pPr>
        <w:pStyle w:val="2"/>
        <w:spacing w:line="360" w:lineRule="auto"/>
        <w:rPr>
          <w:rFonts w:hAnsi="宋体" w:eastAsia="宋体" w:cs="宋体"/>
          <w:color w:val="000000"/>
          <w:kern w:val="0"/>
          <w:sz w:val="24"/>
          <w:szCs w:val="24"/>
          <w:lang w:bidi="ar"/>
        </w:rPr>
      </w:pPr>
      <w:r>
        <w:rPr>
          <w:rFonts w:hint="eastAsia" w:hAnsi="宋体" w:eastAsia="宋体" w:cs="宋体"/>
          <w:color w:val="000000"/>
          <w:kern w:val="0"/>
          <w:sz w:val="24"/>
          <w:szCs w:val="24"/>
          <w:lang w:bidi="ar"/>
        </w:rPr>
        <w:t xml:space="preserve">    </w:t>
      </w:r>
      <w:r>
        <w:rPr>
          <w:rFonts w:hint="eastAsia" w:hAnsi="宋体" w:eastAsia="宋体" w:cs="宋体"/>
          <w:color w:val="000000"/>
          <w:kern w:val="0"/>
          <w:sz w:val="24"/>
          <w:szCs w:val="24"/>
          <w:lang w:val="en-US" w:eastAsia="zh-CN" w:bidi="ar"/>
        </w:rPr>
        <w:t>一年</w:t>
      </w:r>
      <w:r>
        <w:rPr>
          <w:rFonts w:hint="eastAsia" w:ascii="等线" w:hAnsi="等线" w:eastAsia="等线" w:cs="Times New Roman"/>
          <w:szCs w:val="22"/>
        </w:rPr>
        <w:t>。</w:t>
      </w:r>
    </w:p>
    <w:p>
      <w:pPr>
        <w:pStyle w:val="5"/>
        <w:spacing w:line="360" w:lineRule="auto"/>
        <w:ind w:firstLine="0"/>
        <w:rPr>
          <w:rFonts w:eastAsiaTheme="minorEastAsia"/>
        </w:rPr>
      </w:pPr>
    </w:p>
    <w:p/>
    <w:sectPr>
      <w:pgSz w:w="11900" w:h="16840"/>
      <w:pgMar w:top="1440" w:right="1080" w:bottom="1440" w:left="1080" w:header="806" w:footer="806" w:gutter="0"/>
      <w:pgNumType w:start="1"/>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AD44B"/>
    <w:multiLevelType w:val="singleLevel"/>
    <w:tmpl w:val="CD7AD44B"/>
    <w:lvl w:ilvl="0" w:tentative="0">
      <w:start w:val="1"/>
      <w:numFmt w:val="decimal"/>
      <w:lvlText w:val="%1."/>
      <w:lvlJc w:val="left"/>
      <w:pPr>
        <w:tabs>
          <w:tab w:val="left" w:pos="312"/>
        </w:tabs>
      </w:pPr>
    </w:lvl>
  </w:abstractNum>
  <w:abstractNum w:abstractNumId="1">
    <w:nsid w:val="D361583A"/>
    <w:multiLevelType w:val="singleLevel"/>
    <w:tmpl w:val="D361583A"/>
    <w:lvl w:ilvl="0" w:tentative="0">
      <w:start w:val="1"/>
      <w:numFmt w:val="decimal"/>
      <w:lvlText w:val="%1."/>
      <w:lvlJc w:val="left"/>
      <w:pPr>
        <w:tabs>
          <w:tab w:val="left" w:pos="312"/>
        </w:tabs>
      </w:pPr>
    </w:lvl>
  </w:abstractNum>
  <w:abstractNum w:abstractNumId="2">
    <w:nsid w:val="5902280B"/>
    <w:multiLevelType w:val="singleLevel"/>
    <w:tmpl w:val="5902280B"/>
    <w:lvl w:ilvl="0" w:tentative="0">
      <w:start w:val="1"/>
      <w:numFmt w:val="decimal"/>
      <w:lvlText w:val="%1."/>
      <w:lvlJc w:val="left"/>
      <w:pPr>
        <w:tabs>
          <w:tab w:val="left" w:pos="312"/>
        </w:tabs>
      </w:pPr>
    </w:lvl>
  </w:abstractNum>
  <w:abstractNum w:abstractNumId="3">
    <w:nsid w:val="5CA2E376"/>
    <w:multiLevelType w:val="singleLevel"/>
    <w:tmpl w:val="5CA2E376"/>
    <w:lvl w:ilvl="0" w:tentative="0">
      <w:start w:val="1"/>
      <w:numFmt w:val="decimal"/>
      <w:lvlText w:val="%1."/>
      <w:lvlJc w:val="left"/>
      <w:pPr>
        <w:tabs>
          <w:tab w:val="left" w:pos="312"/>
        </w:tabs>
      </w:pPr>
    </w:lvl>
  </w:abstractNum>
  <w:abstractNum w:abstractNumId="4">
    <w:nsid w:val="63D8DAE4"/>
    <w:multiLevelType w:val="singleLevel"/>
    <w:tmpl w:val="63D8DAE4"/>
    <w:lvl w:ilvl="0" w:tentative="0">
      <w:start w:val="1"/>
      <w:numFmt w:val="decimal"/>
      <w:lvlText w:val="%1."/>
      <w:lvlJc w:val="left"/>
      <w:pPr>
        <w:tabs>
          <w:tab w:val="left" w:pos="312"/>
        </w:tabs>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77245"/>
    <w:rsid w:val="2C19609D"/>
    <w:rsid w:val="30EE2AA8"/>
    <w:rsid w:val="46F03207"/>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Courier New" w:cs="Courier New"/>
      <w:color w:val="000000"/>
      <w:sz w:val="24"/>
      <w:szCs w:val="24"/>
      <w:lang w:val="en-US" w:eastAsia="en-US" w:bidi="en-US"/>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pPr>
      <w:jc w:val="both"/>
    </w:pPr>
    <w:rPr>
      <w:rFonts w:ascii="宋体" w:eastAsiaTheme="minorEastAsia"/>
      <w:color w:val="auto"/>
      <w:kern w:val="2"/>
      <w:sz w:val="21"/>
      <w:szCs w:val="21"/>
      <w:lang w:eastAsia="zh-CN" w:bidi="ar-SA"/>
    </w:rPr>
  </w:style>
  <w:style w:type="paragraph" w:customStyle="1" w:styleId="5">
    <w:name w:val="正文文本 (2)"/>
    <w:basedOn w:val="1"/>
    <w:uiPriority w:val="0"/>
    <w:pPr>
      <w:spacing w:after="200"/>
      <w:ind w:firstLine="420"/>
    </w:pPr>
    <w:rPr>
      <w:rFonts w:ascii="Arial" w:hAnsi="Arial" w:eastAsia="Arial" w:cs="Arial"/>
      <w:sz w:val="28"/>
      <w:szCs w:val="28"/>
      <w:lang w:val="zh-CN" w:eastAsia="zh-CN" w:bidi="zh-CN"/>
    </w:rPr>
  </w:style>
  <w:style w:type="paragraph" w:customStyle="1" w:styleId="6">
    <w:name w:val="正文文本1"/>
    <w:basedOn w:val="1"/>
    <w:qFormat/>
    <w:uiPriority w:val="0"/>
    <w:pPr>
      <w:spacing w:after="100"/>
      <w:jc w:val="center"/>
    </w:pPr>
    <w:rPr>
      <w:rFonts w:ascii="宋体" w:hAnsi="宋体" w:eastAsia="宋体" w:cs="宋体"/>
      <w:b/>
      <w:bCs/>
      <w:sz w:val="36"/>
      <w:szCs w:val="36"/>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2023-06-12T05:25:00Z</dcterms:created>
  <dc:creator>LJZ</dc:creator>
  <cp:lastModifiedBy>魏来科</cp:lastModifiedBy>
  <dcterms:modified xsi:type="dcterms:W3CDTF">2023-09-27T03:38:41Z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76661202CE8047EB8E33EF09D2282AB6</vt:lpwstr>
  </property>
</Properties>
</file>