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09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5306695" cy="3538855"/>
            <wp:effectExtent l="0" t="0" r="8255" b="444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695" cy="353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5E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西昌学院</w:t>
      </w: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动物科学学院办学溯源至 1939 年国立西康技艺专科学校畜牧科，</w:t>
      </w: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拥有87年的</w:t>
      </w: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办学</w:t>
      </w: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历史，办学</w:t>
      </w: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积淀深厚。学院现有动物医学、动物科学等 5 个本科专业，动物医学为国家级卓越农林人才改革试点专业、省级一流本科专业建设点，动物科学为国家级一流本科专业建设点。2026 年获批兽医专业硕士学位授权点，设置动物疾病诊疗、动物疫病防控与检疫、兽药创制与安全评价、兽医大数据与动物健康管理 4 个研究方向，</w:t>
      </w: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同年开始招收</w:t>
      </w: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2027 年</w:t>
      </w: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兽医专业硕士研究生</w:t>
      </w: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。学院党建工作成效显著，获评四川省高等学校先进基层党组织，教师党支部为四川省教育工委认定的高校“双带头人”教师党支部书记工作室，现有在校学生1795人。学院立足攀西资源禀赋，服务乡村振兴及西南民族地区畜牧产业发展，聚焦高层次应用型兽医人才培养。</w:t>
      </w:r>
    </w:p>
    <w:p w14:paraId="1F30D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</w:rPr>
      </w:pPr>
      <w:r>
        <w:drawing>
          <wp:inline distT="0" distB="0" distL="114300" distR="114300">
            <wp:extent cx="5270500" cy="2423160"/>
            <wp:effectExtent l="0" t="0" r="635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54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学院组建专兼结合的双师型师资队伍，现有专任教师 80 人，教授 10 人、副教授 39 人，博士 50 人，博士占比 62.5%，建有 2 个省级优秀教学团队。汇聚天府学者特聘专家、银龄特聘教师，拥有教育部高等学校动物生产类教指委委员、四川省各类教指委委员、四川省十大杰出兽医、省学术和技术带头人后备人选、凉山州学术和技术带头人等高层次人才，23 名教师担任科技特派员，深度服务地方产业发展。聘请 18 名行业一线高级技术专家担任校外导师，实行双导师制。多名教师具备硕导资质，长期与四川农业大学、</w:t>
      </w: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石河子大学、宁夏大学等</w:t>
      </w: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开展研究生联合培养，可全面满足兽医专硕理论教学、科研攻关与实践指导需求。</w:t>
      </w:r>
    </w:p>
    <w:p w14:paraId="53D4B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</w:rPr>
      </w:pPr>
      <w:r>
        <w:drawing>
          <wp:inline distT="0" distB="0" distL="114300" distR="114300">
            <wp:extent cx="5264150" cy="3446780"/>
            <wp:effectExtent l="0" t="0" r="1270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44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50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学院科研实践平台完备，拥有 3 个四川省教育厅重点实验室、3 个校级工程技术研究中心，配套攀西教学动物医院等实践载体，设 3 个校级科研创新团队。建有国家级校外农科教合作人才培养基地，同 15 家行业龙头企业共建实习实训基地</w:t>
      </w:r>
      <w:r>
        <w:rPr>
          <w:rFonts w:hint="eastAsia" w:ascii="方正楷体_GB2312" w:hAnsi="方正楷体_GB2312" w:eastAsia="方正楷体_GB2312" w:cs="方正楷体_GB2312"/>
          <w:sz w:val="21"/>
          <w:szCs w:val="21"/>
          <w:lang w:eastAsia="zh-CN"/>
        </w:rPr>
        <w:t>，</w:t>
      </w: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可满足研究生临床诊疗、疫病检测、新药研发、畜禽科学试验等实践研究需要。与省内外多所高校开展科研协同与资源共享，平台全面覆盖兽医硕士各研究方向，可充分保障研究生课程实验、课题研究、不少于 6 个月专业实践等全部培养环节实施。</w:t>
      </w:r>
    </w:p>
    <w:p w14:paraId="3C194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</w:pPr>
      <w:r>
        <w:drawing>
          <wp:inline distT="0" distB="0" distL="114300" distR="114300">
            <wp:extent cx="5268595" cy="2959100"/>
            <wp:effectExtent l="0" t="0" r="8255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>
                      <a:lum brigh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AD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/>
        </w:rPr>
      </w:pPr>
    </w:p>
    <w:p w14:paraId="1A534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学院持续深化新农科教育教学改革，建成国家级一流本科课程、国家级一流本科专业、国家级卓越农林人才改革试点项目等国家级、省级质量工程项目25项，校级教改项目 40 余项。近五年承担教育部、四川省等各级教改课题 18 项，获四川省政府教学成果二等奖 4 项、三等奖 2 项，多部课程获评省级示范课程，出版多部专业教材专著。构建三段式产教融合实践教学模式，实践教学占比 31%，将产业案例、行业标准融入教学，成熟的课程与实践育人体系，为兽医专硕人才培养筑牢教学根基。</w:t>
      </w:r>
    </w:p>
    <w:p w14:paraId="1422C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</w:rPr>
      </w:pPr>
      <w:r>
        <w:drawing>
          <wp:inline distT="0" distB="0" distL="114300" distR="114300">
            <wp:extent cx="5269230" cy="2620645"/>
            <wp:effectExtent l="0" t="0" r="762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0E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学院聚焦民族地区畜牧业发展现实问题开展科研攻关。近五年承担国家自然科学基金6项、省部级科研项目30余项、厅局级课题50余项，科研到账经费累计3000余万元；获省级科技进步二等奖1项、三等奖2项，国家级行业协会成果二等奖2项，厅州级科技成果奖15项；授权国家专利46项，出版教材专著30部，公开发表学术论文500余篇，其中SCIE收录100余篇。研究成果覆盖动物疾病诊疗、人兽共患病防控、民族中兽药开发、特色畜禽资源保护利用等领域，多项成果实现产业转化，相关技术服务广泛覆盖川西南农牧区域，切实服务地方乡村振兴与畜牧产业高质量发展。</w:t>
      </w:r>
    </w:p>
    <w:p w14:paraId="1D148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</w:rPr>
      </w:pPr>
      <w:r>
        <w:drawing>
          <wp:inline distT="0" distB="0" distL="114300" distR="114300">
            <wp:extent cx="5270500" cy="2473325"/>
            <wp:effectExtent l="0" t="0" r="635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32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学院重视学生创新实践能力培养，搭建完善科创竞赛育人平台。近五年学生获批省级及以上大创项目 170 余项，在全国动物医学专业技能大赛、全国大学生生命科学竞赛、“互联网+”“挑战杯”等高水平学科竞赛中，斩获国家级特等奖、一、二等奖及省级金、银等多项奖项</w:t>
      </w:r>
      <w:r>
        <w:rPr>
          <w:rFonts w:hint="eastAsia" w:ascii="方正楷体_GB2312" w:hAnsi="方正楷体_GB2312" w:eastAsia="方正楷体_GB2312" w:cs="方正楷体_GB2312"/>
          <w:sz w:val="21"/>
          <w:szCs w:val="21"/>
          <w:lang w:eastAsia="zh-CN"/>
        </w:rPr>
        <w:t>，</w:t>
      </w: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获得多项国家专利，部分创新成果落地应用。本科毕业生考研录取率稳定 20% 以上，大批学生考入国内重点农林院校深造，浓厚的科创氛围，为硕士研究生创新能力培养提供良好支撑。</w:t>
      </w:r>
    </w:p>
    <w:p w14:paraId="4F57C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/>
        </w:rPr>
      </w:pPr>
      <w:r>
        <w:drawing>
          <wp:inline distT="0" distB="0" distL="114300" distR="114300">
            <wp:extent cx="4913630" cy="3023235"/>
            <wp:effectExtent l="0" t="0" r="127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363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DA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</w:rPr>
      </w:pPr>
    </w:p>
    <w:p w14:paraId="367988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招生专业（方向）</w:t>
      </w:r>
    </w:p>
    <w:p w14:paraId="0014836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动物疾病诊疗：依托省级实验教学示范中心、攀西教学动物医院，开展伴侣动物与农场动物疾病诊疗、快速检测技术研发、区域特色动物疫病标准化诊疗方案研究，强化临床诊疗技术创新与推广应用。</w:t>
      </w:r>
    </w:p>
    <w:p w14:paraId="725AC81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="0" w:leftChars="0" w:firstLine="0" w:firstLineChars="0"/>
        <w:textAlignment w:val="auto"/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  <w:t>动物疫病防控与检疫：聚焦民族地区人兽共患病与兽医公共卫生安全，开展动物疫病病原学、流行规律、快速检测与综合防控技术研究，支撑区域动物防疫体系与公共卫生安全建设。</w:t>
      </w:r>
    </w:p>
    <w:p w14:paraId="6D2739F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="0" w:leftChars="0" w:firstLine="0" w:firstLineChars="0"/>
        <w:textAlignment w:val="auto"/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  <w:t>兽药创制与安全评价：依托民族地区特色药用植物资源，开展中兽药创制、药理研究、保健制剂研发与安全评价，服务畜禽养殖“减抗、替抗”产业发展需求。</w:t>
      </w:r>
    </w:p>
    <w:p w14:paraId="3CF0B95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="0" w:leftChars="0" w:firstLine="0" w:firstLineChars="0"/>
        <w:textAlignment w:val="auto"/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  <w:t>兽医大数据与动物健康管理：融合信息技术与兽医临床实践，搭建民族地区动物健康大数据平台，开展疫病流行预警、病原溯源、智能健康管理研究，助力智慧畜牧产业高质量发展。</w:t>
      </w:r>
    </w:p>
    <w:p w14:paraId="27242B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="0" w:leftChars="0" w:firstLine="0" w:firstLineChars="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招生目录</w:t>
      </w:r>
    </w:p>
    <w:tbl>
      <w:tblPr>
        <w:tblStyle w:val="2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5"/>
        <w:gridCol w:w="1444"/>
        <w:gridCol w:w="792"/>
        <w:gridCol w:w="1514"/>
        <w:gridCol w:w="863"/>
        <w:gridCol w:w="2244"/>
      </w:tblGrid>
      <w:tr w14:paraId="65C9D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9" w:hRule="exact"/>
          <w:tblHeader/>
          <w:jc w:val="center"/>
        </w:trPr>
        <w:tc>
          <w:tcPr>
            <w:tcW w:w="1665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9812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1444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37C9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  <w:t>专业代码及名称</w:t>
            </w:r>
          </w:p>
        </w:tc>
        <w:tc>
          <w:tcPr>
            <w:tcW w:w="792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D5DD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  <w:t>学习形式</w:t>
            </w:r>
          </w:p>
        </w:tc>
        <w:tc>
          <w:tcPr>
            <w:tcW w:w="1514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7970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  <w:t>初试科目</w:t>
            </w:r>
          </w:p>
        </w:tc>
        <w:tc>
          <w:tcPr>
            <w:tcW w:w="863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E6F1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  <w:t>复试科目</w:t>
            </w:r>
          </w:p>
        </w:tc>
        <w:tc>
          <w:tcPr>
            <w:tcW w:w="2244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318F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  <w:t>备注</w:t>
            </w:r>
          </w:p>
        </w:tc>
      </w:tr>
      <w:tr w14:paraId="434B0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4" w:hRule="exact"/>
          <w:jc w:val="center"/>
        </w:trPr>
        <w:tc>
          <w:tcPr>
            <w:tcW w:w="1665" w:type="dxa"/>
            <w:tcBorders>
              <w:top w:val="single" w:color="CCCCCC" w:sz="4" w:space="0"/>
              <w:left w:val="nil"/>
              <w:bottom w:val="single" w:color="CCCCCC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56F1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动物科学学院</w:t>
            </w:r>
          </w:p>
        </w:tc>
        <w:tc>
          <w:tcPr>
            <w:tcW w:w="1444" w:type="dxa"/>
            <w:tcBorders>
              <w:top w:val="single" w:color="CCCCCC" w:sz="4" w:space="0"/>
              <w:left w:val="nil"/>
              <w:bottom w:val="single" w:color="CCCCCC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3A5A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095200 兽医（专业学位）</w:t>
            </w:r>
          </w:p>
        </w:tc>
        <w:tc>
          <w:tcPr>
            <w:tcW w:w="792" w:type="dxa"/>
            <w:tcBorders>
              <w:top w:val="single" w:color="CCCCCC" w:sz="4" w:space="0"/>
              <w:left w:val="nil"/>
              <w:bottom w:val="single" w:color="CCCCCC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58D5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全日制</w:t>
            </w:r>
          </w:p>
        </w:tc>
        <w:tc>
          <w:tcPr>
            <w:tcW w:w="1514" w:type="dxa"/>
            <w:tcBorders>
              <w:top w:val="single" w:color="CCCCCC" w:sz="4" w:space="0"/>
              <w:left w:val="nil"/>
              <w:bottom w:val="single" w:color="CCCCCC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EF8E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①101 思想政治理论②204 英语二③343 兽医基础④803 基础生物化学</w:t>
            </w:r>
          </w:p>
        </w:tc>
        <w:tc>
          <w:tcPr>
            <w:tcW w:w="863" w:type="dxa"/>
            <w:tcBorders>
              <w:top w:val="single" w:color="CCCCCC" w:sz="4" w:space="0"/>
              <w:left w:val="nil"/>
              <w:bottom w:val="single" w:color="CCCCCC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CDB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兽医专业综合</w:t>
            </w:r>
          </w:p>
        </w:tc>
        <w:tc>
          <w:tcPr>
            <w:tcW w:w="2244" w:type="dxa"/>
            <w:tcBorders>
              <w:top w:val="single" w:color="CCCCCC" w:sz="4" w:space="0"/>
              <w:left w:val="nil"/>
              <w:bottom w:val="single" w:color="CCCCCC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3AAE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学校</w:t>
            </w: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按照教育部、四川省有关政策文件的要求制定并发布复试工作方案和细则，届时请各位考生及时关注我校学科与研究生处发布的信息</w:t>
            </w:r>
          </w:p>
        </w:tc>
      </w:tr>
    </w:tbl>
    <w:p w14:paraId="08B6569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="0" w:leftChars="0" w:firstLine="0" w:firstLineChars="0"/>
        <w:textAlignment w:val="auto"/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报考程序</w:t>
      </w:r>
    </w:p>
    <w:p w14:paraId="1AFCAA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Chars="0"/>
        <w:textAlignment w:val="auto"/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  <w:t>报名包括网上报名和网上确认两个阶段。所有考生均须在规定时间内参加网上报名和网上确认，并到网上确认网报信息、缴费和采集本人图像等相关电子信息。具体事宜请查询“中国研究生招生信息网”。</w:t>
      </w:r>
    </w:p>
    <w:p w14:paraId="6FDBFE1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="0" w:leftChars="0" w:firstLine="0" w:firstLineChars="0"/>
        <w:textAlignment w:val="auto"/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奖助政策</w:t>
      </w:r>
    </w:p>
    <w:tbl>
      <w:tblPr>
        <w:tblStyle w:val="2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13"/>
        <w:gridCol w:w="4806"/>
        <w:gridCol w:w="2403"/>
      </w:tblGrid>
      <w:tr w14:paraId="17D6C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tblHeader/>
          <w:jc w:val="center"/>
        </w:trPr>
        <w:tc>
          <w:tcPr>
            <w:tcW w:w="0" w:type="auto"/>
            <w:tcBorders>
              <w:top w:val="single" w:color="CCCCCC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6665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  <w:t>奖助项目</w:t>
            </w:r>
          </w:p>
        </w:tc>
        <w:tc>
          <w:tcPr>
            <w:tcW w:w="4806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CF49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  <w:t>标准</w:t>
            </w:r>
          </w:p>
        </w:tc>
        <w:tc>
          <w:tcPr>
            <w:tcW w:w="2403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2DDE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  <w:t>备注</w:t>
            </w:r>
          </w:p>
        </w:tc>
      </w:tr>
      <w:tr w14:paraId="29565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CCCCCC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E65E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国家奖学金</w:t>
            </w:r>
          </w:p>
        </w:tc>
        <w:tc>
          <w:tcPr>
            <w:tcW w:w="4806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EFE1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righ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20000 元 / 人</w:t>
            </w:r>
          </w:p>
        </w:tc>
        <w:tc>
          <w:tcPr>
            <w:tcW w:w="2403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EB6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名额由国家统一下达</w:t>
            </w:r>
          </w:p>
        </w:tc>
      </w:tr>
      <w:tr w14:paraId="75398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11C6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国家助学金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7061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righ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6000 元 / 年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B6BE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资助无固定工资收入全日制研究生</w:t>
            </w:r>
          </w:p>
        </w:tc>
      </w:tr>
      <w:tr w14:paraId="42285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9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5688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学业奖学金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0629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righ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一等：10000 元 / 年・人</w:t>
            </w:r>
            <w:r>
              <w:rPr>
                <w:rFonts w:hint="eastAsia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二等：8000 元 / 年・人</w:t>
            </w:r>
            <w:r>
              <w:rPr>
                <w:rFonts w:hint="eastAsia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 xml:space="preserve">三等：6000 </w:t>
            </w:r>
            <w:r>
              <w:rPr>
                <w:rFonts w:hint="eastAsia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元 / 年・人</w:t>
            </w:r>
            <w:r>
              <w:rPr>
                <w:rFonts w:hint="eastAsia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四等：4000 元 / 年・人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4C72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按比例覆盖在读研究生</w:t>
            </w:r>
          </w:p>
        </w:tc>
      </w:tr>
      <w:tr w14:paraId="41962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B40E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新生奖学金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272E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righ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10000 元 / 生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0D72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仅限一志愿录取全日制新生，研一年级发放</w:t>
            </w:r>
          </w:p>
        </w:tc>
      </w:tr>
      <w:tr w14:paraId="544F1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8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E349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研究生创新计划项目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0FB9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righ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社科类：1000</w:t>
            </w: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noBreakHyphen/>
            </w: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5000 元 / 项</w:t>
            </w:r>
            <w:r>
              <w:rPr>
                <w:rFonts w:hint="eastAsia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自然科学类：3000</w:t>
            </w: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noBreakHyphen/>
            </w: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10000 元 / 项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85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按立项评审结果执行</w:t>
            </w:r>
          </w:p>
        </w:tc>
      </w:tr>
      <w:tr w14:paraId="3F478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907F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“三助” 岗位津贴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602A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righ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不低于 500 元 / 月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41CE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每年按 10 个月核发，按需设岗聘用</w:t>
            </w:r>
          </w:p>
        </w:tc>
      </w:tr>
      <w:tr w14:paraId="399DF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F1C3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临时困难补助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F56D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righ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视实际情况核定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6A2C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用于帮扶突发重大经济困难学生</w:t>
            </w:r>
          </w:p>
        </w:tc>
      </w:tr>
      <w:tr w14:paraId="1D80B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32DB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生源地信用助学贷款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B59D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righ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按国家助学贷款政策执行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07EE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bookmarkStart w:id="0" w:name="_GoBack"/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家庭经济困难学生通过 “绿色通道” 申请</w:t>
            </w:r>
          </w:p>
          <w:bookmarkEnd w:id="0"/>
        </w:tc>
      </w:tr>
      <w:tr w14:paraId="25C1C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313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9F17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住宿费</w:t>
            </w:r>
          </w:p>
        </w:tc>
        <w:tc>
          <w:tcPr>
            <w:tcW w:w="4806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E842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righ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学制内免收</w:t>
            </w:r>
          </w:p>
        </w:tc>
        <w:tc>
          <w:tcPr>
            <w:tcW w:w="2403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E23E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仅限全日制研究生</w:t>
            </w:r>
          </w:p>
        </w:tc>
      </w:tr>
    </w:tbl>
    <w:p w14:paraId="638EA8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Chars="0"/>
        <w:textAlignment w:val="auto"/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</w:pPr>
    </w:p>
    <w:p w14:paraId="7520C9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="0" w:leftChars="0" w:firstLine="0" w:firstLineChars="0"/>
        <w:textAlignment w:val="auto"/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参考书目</w:t>
      </w:r>
    </w:p>
    <w:tbl>
      <w:tblPr>
        <w:tblStyle w:val="2"/>
        <w:tblpPr w:leftFromText="180" w:rightFromText="180" w:vertAnchor="text" w:horzAnchor="page" w:tblpX="1805" w:tblpY="708"/>
        <w:tblOverlap w:val="never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9"/>
        <w:gridCol w:w="2291"/>
        <w:gridCol w:w="5132"/>
      </w:tblGrid>
      <w:tr w14:paraId="1314A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exact"/>
          <w:tblHeader/>
        </w:trPr>
        <w:tc>
          <w:tcPr>
            <w:tcW w:w="1099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4EB7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  <w:t>科目代码</w:t>
            </w:r>
          </w:p>
        </w:tc>
        <w:tc>
          <w:tcPr>
            <w:tcW w:w="2291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F642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  <w:t>科目名称</w:t>
            </w:r>
          </w:p>
        </w:tc>
        <w:tc>
          <w:tcPr>
            <w:tcW w:w="5132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51D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sz w:val="21"/>
                <w:szCs w:val="21"/>
                <w:lang w:val="en-US" w:eastAsia="zh-CN"/>
              </w:rPr>
              <w:t>参考书目</w:t>
            </w:r>
          </w:p>
        </w:tc>
      </w:tr>
      <w:tr w14:paraId="179F5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exact"/>
        </w:trPr>
        <w:tc>
          <w:tcPr>
            <w:tcW w:w="1099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50B5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343</w:t>
            </w:r>
          </w:p>
        </w:tc>
        <w:tc>
          <w:tcPr>
            <w:tcW w:w="2291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16E5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兽医基础（含普通动物学、微生物学，各 75 分）</w:t>
            </w:r>
          </w:p>
        </w:tc>
        <w:tc>
          <w:tcPr>
            <w:tcW w:w="5132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EB8C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1.《普通动物学》（第 4 版），刘凌云、郑光美，高等教育出版社2.《微生物学教程》（第 4 版），周德庆，高等教育出版社</w:t>
            </w:r>
          </w:p>
        </w:tc>
      </w:tr>
      <w:tr w14:paraId="2C392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exact"/>
        </w:trPr>
        <w:tc>
          <w:tcPr>
            <w:tcW w:w="1099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831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803</w:t>
            </w:r>
          </w:p>
        </w:tc>
        <w:tc>
          <w:tcPr>
            <w:tcW w:w="2291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4257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基础生物化学</w:t>
            </w:r>
          </w:p>
        </w:tc>
        <w:tc>
          <w:tcPr>
            <w:tcW w:w="5132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FBC6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13" w:beforeLines="100" w:after="313" w:afterLines="100"/>
              <w:ind w:left="0" w:leftChars="0" w:right="0" w:rightChars="0" w:firstLine="0" w:firstLineChars="0"/>
              <w:jc w:val="left"/>
              <w:textAlignment w:val="auto"/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21"/>
                <w:szCs w:val="21"/>
                <w:lang w:val="en-US" w:eastAsia="zh-CN"/>
              </w:rPr>
              <w:t>《生物化学简明教程》（第 6 版），魏民、张丽萍、杨建雄，高等教育出版社</w:t>
            </w:r>
          </w:p>
        </w:tc>
      </w:tr>
    </w:tbl>
    <w:p w14:paraId="078FA4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Chars="0"/>
        <w:textAlignment w:val="auto"/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</w:pPr>
    </w:p>
    <w:p w14:paraId="680E21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="0" w:leftChars="0" w:firstLine="0" w:firstLineChars="0"/>
        <w:textAlignment w:val="auto"/>
        <w:rPr>
          <w:rFonts w:hint="default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了解更多</w:t>
      </w:r>
    </w:p>
    <w:p w14:paraId="63D8B1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Chars="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了解更多：</w:t>
      </w: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fldChar w:fldCharType="begin"/>
      </w: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instrText xml:space="preserve"> HYPERLINK "https://www.xcc.edu.cn/xkyyjsc/zsgz/zsjzml/882344/index.html" </w:instrText>
      </w: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fldChar w:fldCharType="separate"/>
      </w:r>
      <w:r>
        <w:rPr>
          <w:rStyle w:val="4"/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>https://www.xcc.edu.cn/xkyyjsc/zsgz/zsjzml/882344/index.html</w:t>
      </w: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fldChar w:fldCharType="end"/>
      </w:r>
    </w:p>
    <w:p w14:paraId="1E9981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Chars="0"/>
        <w:textAlignment w:val="auto"/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1"/>
          <w:szCs w:val="21"/>
          <w:lang w:val="en-US" w:eastAsia="zh-CN"/>
        </w:rPr>
        <w:t xml:space="preserve">联系人：郝老师：18981532614 张老师：13890423559 </w:t>
      </w:r>
      <w:r>
        <w:rPr>
          <w:rFonts w:hint="eastAsia" w:ascii="方正楷体_GB2312" w:hAnsi="方正楷体_GB2312" w:eastAsia="方正楷体_GB2312" w:cs="方正楷体_GB2312"/>
          <w:sz w:val="21"/>
          <w:szCs w:val="21"/>
        </w:rPr>
        <w:t>咨询群：1064191912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71124B61-6D72-45EB-AC5C-6704A64E2D5D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B8BE05"/>
    <w:multiLevelType w:val="singleLevel"/>
    <w:tmpl w:val="8FB8BE0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93D5229"/>
    <w:multiLevelType w:val="singleLevel"/>
    <w:tmpl w:val="293D522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266D30"/>
    <w:rsid w:val="15A5264B"/>
    <w:rsid w:val="2D6F3D99"/>
    <w:rsid w:val="34F53CFE"/>
    <w:rsid w:val="4026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2472</Words>
  <Characters>2672</Characters>
  <Lines>0</Lines>
  <Paragraphs>0</Paragraphs>
  <TotalTime>4</TotalTime>
  <ScaleCrop>false</ScaleCrop>
  <LinksUpToDate>false</LinksUpToDate>
  <CharactersWithSpaces>2788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2026-10-12T09:06:00Z</dcterms:created>
  <dc:creator>张志强</dc:creator>
  <cp:lastModifiedBy>张志强</cp:lastModifiedBy>
  <dcterms:modified xsi:type="dcterms:W3CDTF">2026-10-13T08:12:07Z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4E4D52D473D24F418F54C2325C0350F9_11</vt:lpwstr>
  </property>
  <property fmtid="{D5CDD505-2E9C-101B-9397-08002B2CF9AE}" pid="4" name="KSOTemplateDocerSaveRecord">
    <vt:lpwstr>eyJoZGlkIjoiMTE2MGJmMDkwMTYzODBiNmU0MzU3YTQzYmM0NzM3YjIiLCJ1c2VySWQiOiIxNzMzODUyMDMxIn0=</vt:lpwstr>
  </property>
</Properties>
</file>