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0"/>
          <w:numId w:val="1"/>
        </w:numPr>
        <w:spacing w:line="400" w:lineRule="exact"/>
        <w:rPr>
          <w:rFonts w:hint="eastAsia" w:hAnsi="宋体" w:cs="宋体"/>
          <w:b/>
          <w:bCs/>
          <w:sz w:val="28"/>
          <w:szCs w:val="28"/>
          <w:lang w:val="en-US" w:eastAsia="zh-CN"/>
        </w:rPr>
      </w:pPr>
      <w:r>
        <w:rPr>
          <w:rFonts w:hint="eastAsia" w:hAnsi="宋体" w:cs="宋体"/>
          <w:b/>
          <w:bCs/>
          <w:sz w:val="28"/>
          <w:szCs w:val="28"/>
          <w:lang w:val="en-US" w:eastAsia="zh-CN"/>
        </w:rPr>
        <w:t>技术参数要求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1323"/>
        <w:gridCol w:w="2993"/>
        <w:gridCol w:w="5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en-US"/>
              </w:rPr>
            </w:pPr>
            <w:r>
              <w:rPr>
                <w:rFonts w:hint="eastAsia" w:ascii="Times New Roman" w:hAnsi="Times New Roman" w:eastAsia="宋体"/>
                <w:b/>
                <w:bCs/>
                <w:sz w:val="24"/>
                <w:lang w:eastAsia="en-US"/>
              </w:rPr>
              <w:t>序号</w:t>
            </w:r>
          </w:p>
        </w:tc>
        <w:tc>
          <w:tcPr>
            <w:tcW w:w="1323" w:type="dxa"/>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en-US"/>
              </w:rPr>
            </w:pPr>
            <w:r>
              <w:rPr>
                <w:rFonts w:hint="eastAsia" w:ascii="Times New Roman" w:hAnsi="Times New Roman" w:eastAsia="宋体"/>
                <w:b/>
                <w:bCs/>
                <w:sz w:val="24"/>
                <w:lang w:eastAsia="en-US"/>
              </w:rPr>
              <w:t>服务内容</w:t>
            </w:r>
          </w:p>
        </w:tc>
        <w:tc>
          <w:tcPr>
            <w:tcW w:w="2993" w:type="dxa"/>
            <w:noWrap w:val="0"/>
            <w:vAlign w:val="center"/>
          </w:tcPr>
          <w:p>
            <w:pPr>
              <w:pStyle w:val="8"/>
              <w:autoSpaceDE w:val="0"/>
              <w:autoSpaceDN w:val="0"/>
              <w:spacing w:after="0" w:line="360" w:lineRule="auto"/>
              <w:ind w:firstLine="0" w:firstLineChars="0"/>
              <w:rPr>
                <w:rFonts w:ascii="Times New Roman" w:hAnsi="Times New Roman" w:eastAsia="宋体"/>
                <w:b/>
                <w:bCs/>
                <w:sz w:val="24"/>
                <w:lang w:eastAsia="en-US"/>
              </w:rPr>
            </w:pPr>
            <w:r>
              <w:rPr>
                <w:rFonts w:hint="eastAsia" w:ascii="Times New Roman" w:hAnsi="Times New Roman" w:eastAsia="宋体"/>
                <w:b/>
                <w:bCs/>
                <w:sz w:val="24"/>
                <w:lang w:eastAsia="en-US"/>
              </w:rPr>
              <w:t>服务子内容</w:t>
            </w:r>
          </w:p>
        </w:tc>
        <w:tc>
          <w:tcPr>
            <w:tcW w:w="5076" w:type="dxa"/>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en-US"/>
              </w:rPr>
            </w:pPr>
            <w:r>
              <w:rPr>
                <w:rFonts w:hint="eastAsia" w:ascii="Times New Roman" w:hAnsi="Times New Roman" w:eastAsia="宋体"/>
                <w:b/>
                <w:bCs/>
                <w:sz w:val="24"/>
                <w:lang w:eastAsia="en-US"/>
              </w:rPr>
              <w:t>内容简介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4" w:hRule="atLeast"/>
        </w:trPr>
        <w:tc>
          <w:tcPr>
            <w:tcW w:w="0" w:type="auto"/>
            <w:vMerge w:val="restart"/>
            <w:noWrap w:val="0"/>
            <w:vAlign w:val="center"/>
          </w:tcPr>
          <w:p>
            <w:pPr>
              <w:pStyle w:val="8"/>
              <w:autoSpaceDE w:val="0"/>
              <w:autoSpaceDN w:val="0"/>
              <w:spacing w:after="0" w:line="360" w:lineRule="auto"/>
              <w:ind w:firstLine="241"/>
              <w:jc w:val="center"/>
              <w:rPr>
                <w:rFonts w:ascii="Times New Roman" w:hAnsi="Times New Roman" w:eastAsia="宋体"/>
                <w:b/>
                <w:bCs/>
                <w:sz w:val="24"/>
                <w:lang w:eastAsia="en-US"/>
              </w:rPr>
            </w:pPr>
            <w:r>
              <w:rPr>
                <w:rFonts w:hint="eastAsia" w:ascii="Times New Roman" w:hAnsi="Times New Roman" w:eastAsia="宋体"/>
                <w:b/>
                <w:bCs/>
                <w:sz w:val="24"/>
                <w:lang w:eastAsia="en-US"/>
              </w:rPr>
              <w:t>1</w:t>
            </w:r>
          </w:p>
        </w:tc>
        <w:tc>
          <w:tcPr>
            <w:tcW w:w="1323" w:type="dxa"/>
            <w:vMerge w:val="restart"/>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zh-CN"/>
              </w:rPr>
            </w:pPr>
            <w:r>
              <w:rPr>
                <w:rFonts w:hint="eastAsia" w:ascii="Times New Roman" w:hAnsi="Times New Roman" w:eastAsia="宋体"/>
                <w:b/>
                <w:bCs/>
                <w:sz w:val="24"/>
                <w:lang w:eastAsia="zh-CN"/>
              </w:rPr>
              <w:t>智慧专业建设（</w:t>
            </w:r>
            <w:r>
              <w:rPr>
                <w:rFonts w:hint="eastAsia" w:ascii="Times New Roman" w:hAnsi="Times New Roman" w:eastAsia="宋体"/>
                <w:b/>
                <w:bCs/>
                <w:sz w:val="24"/>
                <w:lang w:val="en-US" w:eastAsia="zh-CN"/>
              </w:rPr>
              <w:t>体育教育专业</w:t>
            </w:r>
            <w:r>
              <w:rPr>
                <w:rFonts w:hint="eastAsia" w:ascii="Times New Roman" w:hAnsi="Times New Roman" w:eastAsia="宋体"/>
                <w:b/>
                <w:bCs/>
                <w:sz w:val="24"/>
                <w:lang w:eastAsia="zh-CN"/>
              </w:rPr>
              <w:t>）</w:t>
            </w:r>
          </w:p>
        </w:tc>
        <w:tc>
          <w:tcPr>
            <w:tcW w:w="2993" w:type="dxa"/>
            <w:noWrap w:val="0"/>
            <w:vAlign w:val="center"/>
          </w:tcPr>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专业调研：</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1、岗位能力模型</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2、培养方案数据库</w:t>
            </w:r>
          </w:p>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3、专业分析报告</w:t>
            </w:r>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eastAsia="zh-CN"/>
              </w:rPr>
              <w:t>互联网采集的海量招聘信息，通过数据清洗和信息挖掘技术，分析专业岗位人才需求，呈现岗位对于技术能力、素质能力、工具能力要求模型，以及该专业的区域需求、行业需求分析和薪资分析的数据库，生成专业分析报告。并通用培养方案数据库，整合全国多所院校公开的培养方案供老师筛选查阅，为人才培养方案制定提供专业的调研分析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zh-CN"/>
              </w:rPr>
            </w:pPr>
          </w:p>
        </w:tc>
        <w:tc>
          <w:tcPr>
            <w:tcW w:w="1323" w:type="dxa"/>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zh-CN"/>
              </w:rPr>
            </w:pPr>
          </w:p>
        </w:tc>
        <w:tc>
          <w:tcPr>
            <w:tcW w:w="2993" w:type="dxa"/>
            <w:noWrap w:val="0"/>
            <w:vAlign w:val="center"/>
          </w:tcPr>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专业管理：</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1、专业关键数据管理</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2、课程关键数据理</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3、专业建设分析</w:t>
            </w:r>
          </w:p>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4、专业图谱建设</w:t>
            </w:r>
          </w:p>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5、知识森林</w:t>
            </w:r>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eastAsia="zh-CN"/>
              </w:rPr>
              <w:t>将专业人才培养方案、课程教学大纲进行全流程线上化管理，并拆分关键结构化数形成专业图谱进行可视化分析。利用专业图谱引擎梳理人才培养方案和课程教学大纲中的培养目标、毕业要求、毕业要求指标点、课程体系、课程目标等相关数据，将整个专业建设进行可视化展示，最小颗粒度细化到课程知识点层，清晰地呈现整个专业的顶层设计，及各项指标之间的支撑关系，为专业建设的完整性和合理性提供分析数据。并通过海量的知识点建设，并关联对应的知识资源，以知识森林的方式聚合教学资源，能够更好地组织和管理分散的、无序的信息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zh-CN"/>
              </w:rPr>
            </w:pPr>
          </w:p>
        </w:tc>
        <w:tc>
          <w:tcPr>
            <w:tcW w:w="1323" w:type="dxa"/>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zh-CN"/>
              </w:rPr>
            </w:pPr>
          </w:p>
        </w:tc>
        <w:tc>
          <w:tcPr>
            <w:tcW w:w="2993" w:type="dxa"/>
            <w:noWrap w:val="0"/>
            <w:vAlign w:val="center"/>
          </w:tcPr>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达成度分析：</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1、课程达成度分析</w:t>
            </w:r>
          </w:p>
          <w:p>
            <w:pPr>
              <w:pStyle w:val="8"/>
              <w:autoSpaceDE w:val="0"/>
              <w:autoSpaceDN w:val="0"/>
              <w:spacing w:after="0" w:line="360" w:lineRule="auto"/>
              <w:ind w:firstLine="0" w:firstLineChars="0"/>
              <w:rPr>
                <w:rFonts w:ascii="Times New Roman" w:hAnsi="Times New Roman" w:eastAsia="宋体"/>
                <w:sz w:val="24"/>
                <w:lang w:eastAsia="en-US"/>
              </w:rPr>
            </w:pPr>
            <w:r>
              <w:rPr>
                <w:rFonts w:hint="eastAsia" w:ascii="Times New Roman" w:hAnsi="Times New Roman" w:eastAsia="宋体"/>
                <w:sz w:val="24"/>
                <w:lang w:eastAsia="en-US"/>
              </w:rPr>
              <w:t>2、专业达成度分析</w:t>
            </w:r>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eastAsia="zh-CN"/>
              </w:rPr>
              <w:t>课程达成度统计模块通过比对课程大纲与实际教学情况，从课程目标和学生两个维度，全面展示课程达成度统计数据。专业及多专业达成度对比分析模块通过对各专业的整体达成度、专业要求达成度、专业要求指标点达成度、课程达成情况以及课程支撑情况进行横向和纵向对比分析，帮助管理者全面评估不同专业在培养目标、毕业要求和课程支撑方面的达成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zh-CN"/>
              </w:rPr>
            </w:pPr>
          </w:p>
        </w:tc>
        <w:tc>
          <w:tcPr>
            <w:tcW w:w="1323" w:type="dxa"/>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zh-CN"/>
              </w:rPr>
            </w:pPr>
          </w:p>
        </w:tc>
        <w:tc>
          <w:tcPr>
            <w:tcW w:w="2993" w:type="dxa"/>
            <w:noWrap w:val="0"/>
            <w:vAlign w:val="center"/>
          </w:tcPr>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专业成果展示：</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1、专业门户</w:t>
            </w:r>
          </w:p>
          <w:p>
            <w:pPr>
              <w:pStyle w:val="8"/>
              <w:autoSpaceDE w:val="0"/>
              <w:autoSpaceDN w:val="0"/>
              <w:spacing w:after="0" w:line="360" w:lineRule="auto"/>
              <w:ind w:firstLine="0" w:firstLineChars="0"/>
              <w:rPr>
                <w:rFonts w:ascii="Times New Roman" w:hAnsi="Times New Roman" w:eastAsia="宋体"/>
                <w:sz w:val="24"/>
                <w:lang w:eastAsia="en-US"/>
              </w:rPr>
            </w:pPr>
            <w:r>
              <w:rPr>
                <w:rFonts w:hint="eastAsia" w:ascii="Times New Roman" w:hAnsi="Times New Roman" w:eastAsia="宋体"/>
                <w:sz w:val="24"/>
                <w:lang w:eastAsia="en-US"/>
              </w:rPr>
              <w:t>2、</w:t>
            </w:r>
            <w:bookmarkStart w:id="0" w:name="OLE_LINK11"/>
            <w:r>
              <w:rPr>
                <w:rFonts w:hint="eastAsia" w:ascii="Times New Roman" w:hAnsi="Times New Roman" w:eastAsia="宋体"/>
                <w:sz w:val="24"/>
                <w:lang w:eastAsia="en-US"/>
              </w:rPr>
              <w:t>专业建设大屏</w:t>
            </w:r>
            <w:bookmarkEnd w:id="0"/>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eastAsia="zh-CN"/>
              </w:rPr>
              <w:t>专业建设门户展示页面模块是一个集成丰富信息与功能的综合性平台界面，旨在全方位展现学</w:t>
            </w:r>
            <w:r>
              <w:rPr>
                <w:rFonts w:hint="eastAsia" w:ascii="Times New Roman" w:hAnsi="Times New Roman"/>
                <w:sz w:val="24"/>
                <w:lang w:val="en-US" w:eastAsia="zh-CN"/>
              </w:rPr>
              <w:t>院</w:t>
            </w:r>
            <w:r>
              <w:rPr>
                <w:rFonts w:hint="eastAsia" w:ascii="Times New Roman" w:hAnsi="Times New Roman" w:eastAsia="宋体"/>
                <w:sz w:val="24"/>
                <w:lang w:eastAsia="zh-CN"/>
              </w:rPr>
              <w:t>在学科专业建设上的成就与特色。同时，通过直观易懂的视觉设计和清晰的信息架构，在专业大屏上将专业建设情况、资源建设情况、教学执行情况融为一体，为管理者提供实时直观了解专业的便捷途径。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en-US"/>
              </w:rPr>
            </w:pPr>
            <w:r>
              <w:rPr>
                <w:rFonts w:hint="eastAsia" w:ascii="Times New Roman" w:hAnsi="Times New Roman" w:eastAsia="宋体"/>
                <w:b/>
                <w:bCs/>
                <w:sz w:val="24"/>
                <w:lang w:eastAsia="en-US"/>
              </w:rPr>
              <w:t>2</w:t>
            </w:r>
          </w:p>
        </w:tc>
        <w:tc>
          <w:tcPr>
            <w:tcW w:w="1323" w:type="dxa"/>
            <w:vMerge w:val="restart"/>
            <w:noWrap w:val="0"/>
            <w:vAlign w:val="center"/>
          </w:tcPr>
          <w:p>
            <w:pPr>
              <w:pStyle w:val="8"/>
              <w:autoSpaceDE w:val="0"/>
              <w:autoSpaceDN w:val="0"/>
              <w:spacing w:after="0" w:line="360" w:lineRule="auto"/>
              <w:ind w:firstLine="0" w:firstLineChars="0"/>
              <w:jc w:val="center"/>
              <w:rPr>
                <w:rFonts w:ascii="Times New Roman" w:hAnsi="Times New Roman" w:eastAsia="宋体"/>
                <w:b/>
                <w:bCs/>
                <w:sz w:val="24"/>
                <w:lang w:eastAsia="zh-CN"/>
              </w:rPr>
            </w:pPr>
            <w:r>
              <w:rPr>
                <w:rFonts w:hint="eastAsia" w:ascii="Times New Roman" w:hAnsi="Times New Roman" w:eastAsia="宋体"/>
                <w:b/>
                <w:bCs/>
                <w:sz w:val="24"/>
                <w:lang w:eastAsia="zh-CN"/>
              </w:rPr>
              <w:t>智慧课程建设(</w:t>
            </w:r>
            <w:r>
              <w:rPr>
                <w:rFonts w:hint="eastAsia" w:ascii="Times New Roman" w:hAnsi="Times New Roman"/>
                <w:b/>
                <w:bCs/>
                <w:sz w:val="24"/>
                <w:lang w:val="en-US" w:eastAsia="zh-CN"/>
              </w:rPr>
              <w:t>1</w:t>
            </w:r>
            <w:r>
              <w:rPr>
                <w:rFonts w:hint="eastAsia" w:ascii="Times New Roman" w:hAnsi="Times New Roman" w:eastAsia="宋体"/>
                <w:b/>
                <w:bCs/>
                <w:sz w:val="24"/>
                <w:lang w:eastAsia="zh-CN"/>
              </w:rPr>
              <w:t>门课程)</w:t>
            </w:r>
          </w:p>
        </w:tc>
        <w:tc>
          <w:tcPr>
            <w:tcW w:w="2993" w:type="dxa"/>
            <w:noWrap w:val="0"/>
            <w:vAlign w:val="center"/>
          </w:tcPr>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智慧课程设计与规划：</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1.智慧课程设计专家一对一指导</w:t>
            </w:r>
          </w:p>
          <w:p>
            <w:pPr>
              <w:pStyle w:val="8"/>
              <w:autoSpaceDE w:val="0"/>
              <w:autoSpaceDN w:val="0"/>
              <w:spacing w:after="0" w:line="360" w:lineRule="auto"/>
              <w:ind w:firstLine="0" w:firstLineChars="0"/>
              <w:rPr>
                <w:rFonts w:ascii="Times New Roman" w:hAnsi="Times New Roman" w:eastAsia="宋体"/>
                <w:sz w:val="24"/>
                <w:lang w:eastAsia="en-US"/>
              </w:rPr>
            </w:pPr>
            <w:r>
              <w:rPr>
                <w:rFonts w:hint="eastAsia" w:ascii="Times New Roman" w:hAnsi="Times New Roman" w:eastAsia="宋体"/>
                <w:sz w:val="24"/>
                <w:lang w:eastAsia="en-US"/>
              </w:rPr>
              <w:t>2.智慧课程设计方案</w:t>
            </w:r>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eastAsia="zh-CN"/>
              </w:rPr>
              <w:t>根据教学团队需求，以任务目标为导向，协助老师将资源学习、学习活动、考核评价有机整合，基于任务引擎创设学生为中心、</w:t>
            </w:r>
            <w:r>
              <w:rPr>
                <w:rFonts w:hint="eastAsia" w:ascii="Times New Roman" w:hAnsi="Times New Roman" w:eastAsia="宋体"/>
                <w:sz w:val="24"/>
                <w:lang w:val="en-US" w:eastAsia="zh-CN"/>
              </w:rPr>
              <w:t>能</w:t>
            </w:r>
            <w:r>
              <w:rPr>
                <w:rFonts w:hint="eastAsia" w:ascii="Times New Roman" w:hAnsi="Times New Roman" w:eastAsia="宋体"/>
                <w:b w:val="0"/>
                <w:bCs w:val="0"/>
                <w:sz w:val="24"/>
                <w:lang w:eastAsia="zh-CN"/>
              </w:rPr>
              <w:t>力</w:t>
            </w:r>
            <w:r>
              <w:rPr>
                <w:rFonts w:hint="eastAsia" w:ascii="Times New Roman" w:hAnsi="Times New Roman" w:eastAsia="宋体"/>
                <w:sz w:val="24"/>
                <w:lang w:eastAsia="zh-CN"/>
              </w:rPr>
              <w:t>培养为导向的综合任务，实现课程活动和设计流程重组和结构再造，促进深度学习发生，实现高阶目标达成。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lang w:eastAsia="zh-CN"/>
              </w:rPr>
            </w:pPr>
          </w:p>
        </w:tc>
        <w:tc>
          <w:tcPr>
            <w:tcW w:w="2993" w:type="dxa"/>
            <w:noWrap w:val="0"/>
            <w:vAlign w:val="center"/>
          </w:tcPr>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bookmarkStart w:id="1" w:name="OLE_LINK3"/>
            <w:r>
              <w:rPr>
                <w:rFonts w:hint="eastAsia" w:ascii="Times New Roman" w:hAnsi="Times New Roman" w:eastAsia="宋体"/>
                <w:sz w:val="24"/>
                <w:lang w:eastAsia="zh-CN"/>
              </w:rPr>
              <w:t>课程专属AI环境搭建</w:t>
            </w:r>
            <w:bookmarkEnd w:id="1"/>
            <w:r>
              <w:rPr>
                <w:rFonts w:hint="eastAsia" w:ascii="Times New Roman" w:hAnsi="Times New Roman" w:eastAsia="宋体"/>
                <w:sz w:val="24"/>
                <w:lang w:eastAsia="zh-CN"/>
              </w:rPr>
              <w:t>：</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1.通用大语言模型对接</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2.课程AI知识库建设</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3.课程AI问答库建设</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4.课程专属助教训练</w:t>
            </w:r>
          </w:p>
          <w:p>
            <w:pPr>
              <w:pStyle w:val="8"/>
              <w:autoSpaceDE w:val="0"/>
              <w:autoSpaceDN w:val="0"/>
              <w:spacing w:after="0" w:line="360" w:lineRule="auto"/>
              <w:ind w:firstLine="0" w:firstLineChars="0"/>
              <w:rPr>
                <w:rFonts w:ascii="Times New Roman" w:hAnsi="Times New Roman" w:eastAsia="宋体"/>
                <w:sz w:val="24"/>
                <w:lang w:eastAsia="en-US"/>
              </w:rPr>
            </w:pPr>
            <w:r>
              <w:rPr>
                <w:rFonts w:hint="eastAsia" w:ascii="Times New Roman" w:hAnsi="Times New Roman" w:eastAsia="宋体"/>
                <w:sz w:val="24"/>
                <w:lang w:eastAsia="en-US"/>
              </w:rPr>
              <w:t>5.课程学习助手开通</w:t>
            </w:r>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eastAsia="zh-CN"/>
              </w:rPr>
              <w:t>根据学校配置，完成指定通用大语言模型或多个通用大模型对接。供应商建设课程问答库，涵盖常见问题、重点难点问题与拓展性问题，为教师与学生提供即时问题解决支持。同时，问答库应支持智能检索与语义理解，提升答疑效率与精准度。提供训练后的AI助教，可提供问答与资源推荐。</w:t>
            </w:r>
            <w:r>
              <w:rPr>
                <w:rFonts w:hint="eastAsia" w:ascii="Times New Roman" w:hAnsi="Times New Roman" w:eastAsia="宋体"/>
                <w:b w:val="0"/>
                <w:bCs w:val="0"/>
                <w:sz w:val="24"/>
                <w:lang w:eastAsia="zh-CN"/>
              </w:rPr>
              <w:t>同时利用丰富教学资源及任务流引擎、个性化形象设计等功能，为课程打造专属的课程AI智能体。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lang w:eastAsia="zh-CN"/>
              </w:rPr>
            </w:pPr>
          </w:p>
        </w:tc>
        <w:tc>
          <w:tcPr>
            <w:tcW w:w="2993" w:type="dxa"/>
            <w:noWrap w:val="0"/>
            <w:vAlign w:val="center"/>
          </w:tcPr>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课程图谱建设服务：</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1.课程图谱设计</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2.知识图谱建设与应用</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3.问题图谱建设与应用</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4.课程思政图谱建设与应用</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5.目标图谱建设</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6.自定义图谱建设</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7.知识点微课建设与应用</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8.基于知识图谱的数智驱动数据分析与统计</w:t>
            </w:r>
          </w:p>
          <w:p>
            <w:pPr>
              <w:pStyle w:val="8"/>
              <w:autoSpaceDE w:val="0"/>
              <w:autoSpaceDN w:val="0"/>
              <w:spacing w:after="0" w:line="360" w:lineRule="auto"/>
              <w:ind w:firstLine="0" w:firstLineChars="0"/>
              <w:rPr>
                <w:rFonts w:ascii="Times New Roman" w:hAnsi="Times New Roman" w:eastAsia="宋体"/>
                <w:sz w:val="24"/>
                <w:lang w:eastAsia="en-US"/>
              </w:rPr>
            </w:pPr>
            <w:r>
              <w:rPr>
                <w:rFonts w:hint="eastAsia" w:ascii="Times New Roman" w:hAnsi="Times New Roman" w:eastAsia="宋体"/>
                <w:sz w:val="24"/>
                <w:lang w:eastAsia="en-US"/>
              </w:rPr>
              <w:t>9.移动端知识图谱应用</w:t>
            </w:r>
          </w:p>
        </w:tc>
        <w:tc>
          <w:tcPr>
            <w:tcW w:w="5076" w:type="dxa"/>
            <w:noWrap w:val="0"/>
            <w:vAlign w:val="center"/>
          </w:tcPr>
          <w:p>
            <w:pPr>
              <w:pStyle w:val="8"/>
              <w:autoSpaceDE w:val="0"/>
              <w:autoSpaceDN w:val="0"/>
              <w:adjustRightInd w:val="0"/>
              <w:spacing w:after="0" w:line="360" w:lineRule="auto"/>
              <w:ind w:firstLine="0" w:firstLineChars="0"/>
              <w:textAlignment w:val="baseline"/>
              <w:rPr>
                <w:rFonts w:ascii="Times New Roman" w:hAnsi="Times New Roman"/>
                <w:sz w:val="24"/>
                <w:lang w:eastAsia="zh-CN"/>
              </w:rPr>
            </w:pPr>
            <w:r>
              <w:rPr>
                <w:rFonts w:hint="eastAsia" w:ascii="Times New Roman" w:hAnsi="Times New Roman" w:eastAsia="宋体"/>
                <w:sz w:val="24"/>
                <w:lang w:eastAsia="zh-CN"/>
              </w:rPr>
              <w:t>具备各类图谱全部功能，提供四种课程知识图谱显示样式，具备教师端、学生端、移动端全部功能。专家指导下，深入沟通课程设计思路，形成高阶课程主线、知识模块、知识单元，形成课程基础的知识图谱。进一步以实际问题为抓手，基于问题图谱架构，建设“经典问题——疑难问题——综合问题”三层问题体系，形成问题链式进阶思考模型。以核心能力培养为导向，基于专业培养方案毕业要求指标点与课程目标，梳理课程核心能力目标，与知识点相关联，形成知识点-课程目标-毕业要求关联体系，形成能力画像，包含能力名称、能力详情、关联问题、关联主题、关联知识点等，支持教学团队开展基于达成度的精准教学实施与评价等等。</w:t>
            </w:r>
            <w:r>
              <w:rPr>
                <w:rFonts w:hint="eastAsia" w:ascii="Times New Roman" w:hAnsi="Times New Roman" w:eastAsia="宋体"/>
                <w:b w:val="0"/>
                <w:bCs w:val="0"/>
                <w:sz w:val="24"/>
                <w:lang w:eastAsia="zh-CN"/>
              </w:rPr>
              <w:t>对于高阶课程，还可以根据课程设计需要，结合特聘专家建议，设计自定义图谱，比如案例图谱、项目图谱等，可选择图谱呈现样式。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lang w:eastAsia="zh-CN"/>
              </w:rPr>
            </w:pPr>
          </w:p>
        </w:tc>
        <w:tc>
          <w:tcPr>
            <w:tcW w:w="2993" w:type="dxa"/>
            <w:noWrap w:val="0"/>
            <w:vAlign w:val="center"/>
          </w:tcPr>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AI工作台教学应用：</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1.AI教案</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2.AI课件</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3.AI写作</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4.AI出题</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5.Al批阅</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6.AI学情分析</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7.资料助手</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8.文献阅读</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9.视频理解</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10.智能编写</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11.作业智能查重</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12.视频智能分析</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13.智能翻译</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14.公式识别</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15.AI试卷质量分析</w:t>
            </w:r>
          </w:p>
          <w:p>
            <w:pPr>
              <w:pStyle w:val="8"/>
              <w:autoSpaceDE w:val="0"/>
              <w:autoSpaceDN w:val="0"/>
              <w:spacing w:after="0" w:line="360" w:lineRule="auto"/>
              <w:ind w:firstLine="0" w:firstLineChars="0"/>
              <w:rPr>
                <w:rFonts w:ascii="Times New Roman" w:hAnsi="Times New Roman" w:eastAsia="宋体"/>
                <w:sz w:val="24"/>
                <w:lang w:eastAsia="en-US"/>
              </w:rPr>
            </w:pPr>
            <w:r>
              <w:rPr>
                <w:rFonts w:hint="eastAsia" w:ascii="Times New Roman" w:hAnsi="Times New Roman" w:eastAsia="宋体"/>
                <w:sz w:val="24"/>
                <w:lang w:eastAsia="en-US"/>
              </w:rPr>
              <w:t>16.A1实践</w:t>
            </w:r>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eastAsia="zh-CN"/>
              </w:rPr>
              <w:t>指导老师应用AI工具，在备课、教学、学习、教研、科研、评价等全流程深度融合，实现数字素养提升，并实现AI赋能的“师/生/机”深度交互教学模式改革。具有AI教案、AI生成PPT、AI智能写作与校正、章节视频与文档AI解析、AI智能出题、公式识别、作业智能查重、AIGC检测、文献阅读、视频理解、智能翻译、资料查询助手等AI工具应用于教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lang w:eastAsia="zh-CN"/>
              </w:rPr>
            </w:pPr>
          </w:p>
        </w:tc>
        <w:tc>
          <w:tcPr>
            <w:tcW w:w="2993" w:type="dxa"/>
            <w:noWrap w:val="0"/>
            <w:vAlign w:val="center"/>
          </w:tcPr>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任务引擎设计:</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1.任务功能模块配置</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2.学生任务学习</w:t>
            </w:r>
          </w:p>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3.任务运行达成数据统计</w:t>
            </w:r>
          </w:p>
        </w:tc>
        <w:tc>
          <w:tcPr>
            <w:tcW w:w="5076" w:type="dxa"/>
            <w:noWrap w:val="0"/>
            <w:vAlign w:val="center"/>
          </w:tcPr>
          <w:p>
            <w:pPr>
              <w:autoSpaceDE w:val="0"/>
              <w:autoSpaceDN w:val="0"/>
              <w:spacing w:beforeAutospacing="1" w:after="160" w:line="360" w:lineRule="auto"/>
              <w:jc w:val="left"/>
              <w:rPr>
                <w:sz w:val="24"/>
                <w:lang w:eastAsia="zh-CN"/>
              </w:rPr>
            </w:pPr>
            <w:r>
              <w:rPr>
                <w:rFonts w:hint="eastAsia" w:cs="Times New Roman"/>
                <w:sz w:val="24"/>
                <w:lang w:eastAsia="zh-CN"/>
              </w:rPr>
              <w:t>供应商能根据教学团队需求协助教师设计课程任务，课程任务类型不限，如项目任务、问题驱动任务、实践任务等，帮助老师掌握基于任务引擎创设学生为中心、</w:t>
            </w:r>
            <w:r>
              <w:rPr>
                <w:rFonts w:hint="eastAsia" w:cs="Times New Roman"/>
                <w:b w:val="0"/>
                <w:bCs w:val="0"/>
                <w:sz w:val="24"/>
                <w:lang w:eastAsia="zh-CN"/>
              </w:rPr>
              <w:t>高阶能力培养</w:t>
            </w:r>
            <w:r>
              <w:rPr>
                <w:rFonts w:hint="eastAsia" w:cs="Times New Roman"/>
                <w:sz w:val="24"/>
                <w:lang w:eastAsia="zh-CN"/>
              </w:rPr>
              <w:t>为导向的综合任务设计，体现教学模式，同时激发学生的学习兴趣，培养解决实际问题的能力并强化跨学科融合与协作学习，鼓励学生通过团队合作解决复杂问题，提升综合素养，并达成数据统计。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highlight w:val="yellow"/>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highlight w:val="yellow"/>
                <w:lang w:eastAsia="zh-CN"/>
              </w:rPr>
            </w:pPr>
          </w:p>
        </w:tc>
        <w:tc>
          <w:tcPr>
            <w:tcW w:w="2993" w:type="dxa"/>
            <w:noWrap w:val="0"/>
            <w:vAlign w:val="center"/>
          </w:tcPr>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智慧课程门户建设:</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1.课程展厅快速生成</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2.提供多模式沉浸式交互</w:t>
            </w:r>
          </w:p>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3.支持课程展厅灵活编辑与管理</w:t>
            </w:r>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val="en-US" w:eastAsia="zh-CN"/>
              </w:rPr>
              <w:t>专业及</w:t>
            </w:r>
            <w:r>
              <w:rPr>
                <w:rFonts w:hint="eastAsia" w:ascii="Times New Roman" w:hAnsi="Times New Roman" w:eastAsia="宋体"/>
                <w:sz w:val="24"/>
                <w:lang w:eastAsia="zh-CN"/>
              </w:rPr>
              <w:t>课程展厅快速生成，支持课程展厅灵活编辑与管理并提供多模式沉浸式交互.基于智慧课程门户，用户通过填写基础课程信息并选用预设三维空间模板，即可高效生成标准化虚拟展厅，并自动嵌入课程门户页面，实现课程资源的统一集成展示。课程展厅采用WebGL与三维建模技术构建的虚拟空间，支持网页端免插件访问。</w:t>
            </w:r>
            <w:r>
              <w:rPr>
                <w:rFonts w:hint="eastAsia"/>
                <w:sz w:val="24"/>
                <w:lang w:eastAsia="zh-CN"/>
              </w:rPr>
              <w:t>展厅支持整合展示专业建设相关各类富媒体内容，用户可自由漫游，通过图文、音视频等多维度了解专业建设的内容，实现沉浸式的参观体验。</w:t>
            </w:r>
            <w:r>
              <w:rPr>
                <w:rFonts w:hint="eastAsia"/>
                <w:b w:val="0"/>
                <w:bCs w:val="0"/>
                <w:sz w:val="24"/>
                <w:lang w:eastAsia="zh-CN"/>
              </w:rPr>
              <w:t>针对高阶课程，还能将AI智能体、课程任务点等融入到展厅中，为学生打造身临其境的学习与互动空间。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lang w:eastAsia="zh-CN"/>
              </w:rPr>
            </w:pPr>
          </w:p>
        </w:tc>
        <w:tc>
          <w:tcPr>
            <w:tcW w:w="2993" w:type="dxa"/>
            <w:noWrap w:val="0"/>
            <w:vAlign w:val="center"/>
          </w:tcPr>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课程门户：</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1.智慧课程门户搭建</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2.智慧课程门户展示</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3.知识图谱展示与应用</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4.AI知识库展示</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5.课程虚拟展厅展示</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6.教学设计展示</w:t>
            </w:r>
          </w:p>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7.课程运行数据统计分析</w:t>
            </w:r>
          </w:p>
        </w:tc>
        <w:tc>
          <w:tcPr>
            <w:tcW w:w="5076" w:type="dxa"/>
            <w:noWrap w:val="0"/>
            <w:vAlign w:val="center"/>
          </w:tcPr>
          <w:p>
            <w:pPr>
              <w:pStyle w:val="8"/>
              <w:autoSpaceDE w:val="0"/>
              <w:autoSpaceDN w:val="0"/>
              <w:adjustRightInd w:val="0"/>
              <w:spacing w:after="0" w:line="360" w:lineRule="auto"/>
              <w:ind w:firstLine="0" w:firstLineChars="0"/>
              <w:jc w:val="left"/>
              <w:textAlignment w:val="baseline"/>
              <w:rPr>
                <w:rFonts w:ascii="Times New Roman" w:hAnsi="Times New Roman" w:eastAsia="宋体"/>
                <w:sz w:val="24"/>
                <w:lang w:eastAsia="zh-CN"/>
              </w:rPr>
            </w:pPr>
            <w:r>
              <w:rPr>
                <w:rFonts w:hint="eastAsia" w:ascii="Times New Roman" w:hAnsi="Times New Roman" w:eastAsia="宋体"/>
                <w:sz w:val="24"/>
                <w:lang w:eastAsia="zh-CN"/>
              </w:rPr>
              <w:t>课程门户展示课程整体建设内容，教师团队、教学设计、课程章节、知识图谱、问题图谱、证书图谱、能力图谱、教学运行、AI知识库、AI应用。支持对课程门户进行二次编辑，课程基本信息，包含课程名称、封面、宣传片、主讲教师、教师团队、学时学分、课程说明等。支持编辑课程简介，展示课程所属院校、专业、教师团队详情等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6" w:hRule="atLeast"/>
        </w:trPr>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lang w:eastAsia="zh-CN"/>
              </w:rPr>
            </w:pPr>
          </w:p>
        </w:tc>
        <w:tc>
          <w:tcPr>
            <w:tcW w:w="2993" w:type="dxa"/>
            <w:noWrap w:val="0"/>
            <w:vAlign w:val="center"/>
          </w:tcPr>
          <w:p>
            <w:pPr>
              <w:pStyle w:val="8"/>
              <w:autoSpaceDE w:val="0"/>
              <w:autoSpaceDN w:val="0"/>
              <w:spacing w:after="0" w:line="360" w:lineRule="auto"/>
              <w:ind w:firstLine="0" w:firstLineChars="0"/>
              <w:rPr>
                <w:rFonts w:hint="eastAsia" w:ascii="Times New Roman" w:hAnsi="Times New Roman" w:eastAsia="宋体"/>
                <w:sz w:val="24"/>
                <w:lang w:eastAsia="zh-CN"/>
              </w:rPr>
            </w:pPr>
            <w:r>
              <w:rPr>
                <w:rFonts w:hint="eastAsia" w:ascii="Times New Roman" w:hAnsi="Times New Roman" w:eastAsia="宋体"/>
                <w:sz w:val="24"/>
                <w:lang w:eastAsia="en-US"/>
              </w:rPr>
              <w:t>专业建设虚拟展厅</w:t>
            </w:r>
            <w:r>
              <w:rPr>
                <w:rFonts w:hint="eastAsia" w:ascii="Times New Roman" w:hAnsi="Times New Roman" w:eastAsia="宋体"/>
                <w:sz w:val="24"/>
                <w:lang w:eastAsia="zh-CN"/>
              </w:rPr>
              <w:t>：</w:t>
            </w:r>
          </w:p>
          <w:p>
            <w:pPr>
              <w:pStyle w:val="8"/>
              <w:autoSpaceDE w:val="0"/>
              <w:autoSpaceDN w:val="0"/>
              <w:spacing w:after="0" w:line="360" w:lineRule="auto"/>
              <w:ind w:firstLine="0" w:firstLineChars="0"/>
              <w:rPr>
                <w:rFonts w:hint="eastAsia" w:ascii="Times New Roman" w:hAnsi="Times New Roman" w:eastAsia="宋体"/>
                <w:sz w:val="24"/>
                <w:lang w:val="en-US" w:eastAsia="zh-CN"/>
              </w:rPr>
            </w:pPr>
            <w:r>
              <w:rPr>
                <w:rFonts w:hint="eastAsia" w:ascii="Times New Roman" w:hAnsi="Times New Roman" w:eastAsia="宋体"/>
                <w:sz w:val="24"/>
                <w:lang w:val="en-US" w:eastAsia="zh-CN"/>
              </w:rPr>
              <w:t>1.空间设计与建模</w:t>
            </w:r>
          </w:p>
          <w:p>
            <w:pPr>
              <w:pStyle w:val="8"/>
              <w:autoSpaceDE w:val="0"/>
              <w:autoSpaceDN w:val="0"/>
              <w:spacing w:after="0" w:line="360" w:lineRule="auto"/>
              <w:ind w:firstLine="0" w:firstLineChars="0"/>
              <w:rPr>
                <w:rFonts w:hint="eastAsia" w:ascii="Times New Roman" w:hAnsi="Times New Roman" w:eastAsia="宋体"/>
                <w:sz w:val="24"/>
                <w:lang w:val="en-US" w:eastAsia="zh-CN"/>
              </w:rPr>
            </w:pPr>
            <w:r>
              <w:rPr>
                <w:rFonts w:hint="eastAsia" w:ascii="Times New Roman" w:hAnsi="Times New Roman" w:eastAsia="宋体"/>
                <w:sz w:val="24"/>
                <w:lang w:val="en-US" w:eastAsia="zh-CN"/>
              </w:rPr>
              <w:t>2.虚拟展厅服务系统</w:t>
            </w:r>
          </w:p>
          <w:p>
            <w:pPr>
              <w:pStyle w:val="8"/>
              <w:autoSpaceDE w:val="0"/>
              <w:autoSpaceDN w:val="0"/>
              <w:spacing w:after="0" w:line="360" w:lineRule="auto"/>
              <w:ind w:firstLine="0" w:firstLineChars="0"/>
              <w:rPr>
                <w:rFonts w:hint="eastAsia" w:ascii="Times New Roman" w:hAnsi="Times New Roman" w:eastAsia="宋体"/>
                <w:sz w:val="24"/>
                <w:lang w:val="en-US" w:eastAsia="zh-CN"/>
              </w:rPr>
            </w:pPr>
            <w:r>
              <w:rPr>
                <w:rFonts w:hint="eastAsia" w:ascii="Times New Roman" w:hAnsi="Times New Roman" w:eastAsia="宋体"/>
                <w:sz w:val="24"/>
                <w:lang w:val="en-US" w:eastAsia="zh-CN"/>
              </w:rPr>
              <w:t>3.虚拟展厅内容布展排版</w:t>
            </w:r>
          </w:p>
          <w:p>
            <w:pPr>
              <w:pStyle w:val="8"/>
              <w:autoSpaceDE w:val="0"/>
              <w:autoSpaceDN w:val="0"/>
              <w:spacing w:after="0" w:line="360" w:lineRule="auto"/>
              <w:ind w:firstLine="0" w:firstLineChars="0"/>
              <w:rPr>
                <w:rFonts w:hint="eastAsia" w:ascii="Times New Roman" w:hAnsi="Times New Roman" w:eastAsia="宋体"/>
                <w:sz w:val="24"/>
                <w:lang w:eastAsia="en-US"/>
              </w:rPr>
            </w:pPr>
            <w:r>
              <w:rPr>
                <w:rFonts w:hint="eastAsia" w:ascii="Times New Roman" w:hAnsi="Times New Roman" w:eastAsia="宋体"/>
                <w:sz w:val="24"/>
                <w:lang w:val="en-US" w:eastAsia="zh-CN"/>
              </w:rPr>
              <w:t>4.虚拟IP形象建设</w:t>
            </w:r>
          </w:p>
        </w:tc>
        <w:tc>
          <w:tcPr>
            <w:tcW w:w="5076" w:type="dxa"/>
            <w:noWrap w:val="0"/>
            <w:vAlign w:val="center"/>
          </w:tcPr>
          <w:p>
            <w:pPr>
              <w:autoSpaceDE w:val="0"/>
              <w:autoSpaceDN w:val="0"/>
              <w:jc w:val="left"/>
              <w:textAlignment w:val="center"/>
              <w:rPr>
                <w:rFonts w:hint="eastAsia" w:cs="Times New Roman"/>
                <w:sz w:val="24"/>
                <w:lang w:eastAsia="zh-CN"/>
              </w:rPr>
            </w:pPr>
            <w:r>
              <w:rPr>
                <w:rFonts w:hint="eastAsia" w:cs="Times New Roman"/>
                <w:sz w:val="24"/>
                <w:lang w:eastAsia="zh-CN"/>
              </w:rPr>
              <w:t>基于3D建模技术打造的三维虚拟空间，无需下载插件，用户可通过手机、PC或VR设备随时随地访问。展厅支持整合展示专业建设相关各类富媒体内容，用户可自由漫游，通过图文、音视频等多维度了解专业建设的内容，实现沉浸式的参观体验，打造身临其境的学习与互动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lang w:eastAsia="zh-CN"/>
              </w:rPr>
            </w:pPr>
          </w:p>
        </w:tc>
        <w:tc>
          <w:tcPr>
            <w:tcW w:w="2993" w:type="dxa"/>
            <w:noWrap w:val="0"/>
            <w:vAlign w:val="center"/>
          </w:tcPr>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数据分析：</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1.学情统计&amp;图谱统计</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2.知识点统计</w:t>
            </w:r>
          </w:p>
          <w:p>
            <w:pPr>
              <w:pStyle w:val="8"/>
              <w:autoSpaceDE w:val="0"/>
              <w:autoSpaceDN w:val="0"/>
              <w:spacing w:after="0" w:line="360" w:lineRule="auto"/>
              <w:ind w:firstLine="0" w:firstLineChars="0"/>
              <w:rPr>
                <w:rFonts w:ascii="Times New Roman" w:hAnsi="Times New Roman" w:eastAsia="宋体"/>
                <w:sz w:val="24"/>
                <w:lang w:eastAsia="en-US"/>
              </w:rPr>
            </w:pPr>
            <w:r>
              <w:rPr>
                <w:rFonts w:hint="eastAsia" w:ascii="Times New Roman" w:hAnsi="Times New Roman" w:eastAsia="宋体"/>
                <w:sz w:val="24"/>
                <w:lang w:eastAsia="en-US"/>
              </w:rPr>
              <w:t>3.课程数据总览</w:t>
            </w:r>
          </w:p>
        </w:tc>
        <w:tc>
          <w:tcPr>
            <w:tcW w:w="5076" w:type="dxa"/>
            <w:noWrap w:val="0"/>
            <w:vAlign w:val="center"/>
          </w:tcPr>
          <w:p>
            <w:pPr>
              <w:autoSpaceDE w:val="0"/>
              <w:autoSpaceDN w:val="0"/>
              <w:jc w:val="left"/>
              <w:textAlignment w:val="center"/>
              <w:rPr>
                <w:rFonts w:cs="Times New Roman"/>
                <w:sz w:val="24"/>
                <w:lang w:eastAsia="zh-CN"/>
              </w:rPr>
            </w:pPr>
            <w:r>
              <w:rPr>
                <w:rFonts w:hint="eastAsia" w:cs="Times New Roman"/>
                <w:sz w:val="24"/>
                <w:lang w:eastAsia="zh-CN"/>
              </w:rPr>
              <w:t>支持用户深入分析学习情况和图谱数据，优化教学策略。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pPr>
              <w:pStyle w:val="8"/>
              <w:autoSpaceDE w:val="0"/>
              <w:autoSpaceDN w:val="0"/>
              <w:spacing w:after="0" w:line="360" w:lineRule="auto"/>
              <w:ind w:firstLine="0" w:firstLineChars="0"/>
              <w:jc w:val="center"/>
              <w:rPr>
                <w:rFonts w:ascii="Times New Roman" w:hAnsi="Times New Roman" w:eastAsia="宋体"/>
                <w:sz w:val="24"/>
                <w:lang w:eastAsia="zh-CN"/>
              </w:rPr>
            </w:pPr>
          </w:p>
        </w:tc>
        <w:tc>
          <w:tcPr>
            <w:tcW w:w="1323" w:type="dxa"/>
            <w:vMerge w:val="continue"/>
            <w:noWrap w:val="0"/>
            <w:vAlign w:val="center"/>
          </w:tcPr>
          <w:p>
            <w:pPr>
              <w:pStyle w:val="8"/>
              <w:autoSpaceDE w:val="0"/>
              <w:autoSpaceDN w:val="0"/>
              <w:spacing w:after="0" w:line="360" w:lineRule="auto"/>
              <w:ind w:firstLine="240"/>
              <w:jc w:val="center"/>
              <w:rPr>
                <w:rFonts w:ascii="Times New Roman" w:hAnsi="Times New Roman" w:eastAsia="宋体"/>
                <w:sz w:val="24"/>
                <w:highlight w:val="yellow"/>
                <w:lang w:eastAsia="zh-CN"/>
              </w:rPr>
            </w:pPr>
          </w:p>
        </w:tc>
        <w:tc>
          <w:tcPr>
            <w:tcW w:w="2993" w:type="dxa"/>
            <w:noWrap w:val="0"/>
            <w:vAlign w:val="center"/>
          </w:tcPr>
          <w:p>
            <w:pPr>
              <w:pStyle w:val="8"/>
              <w:autoSpaceDE w:val="0"/>
              <w:autoSpaceDN w:val="0"/>
              <w:spacing w:after="0" w:line="360" w:lineRule="auto"/>
              <w:ind w:firstLine="0" w:firstLineChars="0"/>
              <w:rPr>
                <w:rFonts w:ascii="Times New Roman" w:hAnsi="Times New Roman" w:eastAsia="宋体"/>
                <w:sz w:val="24"/>
                <w:lang w:eastAsia="zh-CN"/>
              </w:rPr>
            </w:pPr>
            <w:r>
              <w:rPr>
                <w:rFonts w:hint="eastAsia" w:ascii="Times New Roman" w:hAnsi="Times New Roman" w:eastAsia="宋体"/>
                <w:sz w:val="24"/>
                <w:lang w:eastAsia="zh-CN"/>
              </w:rPr>
              <w:t>课程运行推广：</w:t>
            </w:r>
          </w:p>
          <w:p>
            <w:pPr>
              <w:pStyle w:val="8"/>
              <w:autoSpaceDE w:val="0"/>
              <w:autoSpaceDN w:val="0"/>
              <w:adjustRightInd w:val="0"/>
              <w:spacing w:after="0" w:line="360" w:lineRule="auto"/>
              <w:ind w:firstLine="0" w:firstLineChars="0"/>
              <w:textAlignment w:val="baseline"/>
              <w:rPr>
                <w:rFonts w:ascii="Times New Roman" w:hAnsi="Times New Roman" w:eastAsia="宋体"/>
                <w:sz w:val="24"/>
                <w:lang w:eastAsia="zh-CN"/>
              </w:rPr>
            </w:pPr>
            <w:r>
              <w:rPr>
                <w:rFonts w:hint="eastAsia" w:ascii="Times New Roman" w:hAnsi="Times New Roman" w:eastAsia="宋体"/>
                <w:sz w:val="24"/>
                <w:lang w:eastAsia="zh-CN"/>
              </w:rPr>
              <w:t>1.运行培训方案</w:t>
            </w:r>
          </w:p>
          <w:p>
            <w:pPr>
              <w:pStyle w:val="8"/>
              <w:autoSpaceDE w:val="0"/>
              <w:autoSpaceDN w:val="0"/>
              <w:spacing w:after="0" w:line="360" w:lineRule="auto"/>
              <w:ind w:firstLine="0" w:firstLineChars="0"/>
              <w:rPr>
                <w:rFonts w:ascii="Times New Roman" w:hAnsi="Times New Roman" w:eastAsia="宋体"/>
                <w:sz w:val="24"/>
                <w:lang w:eastAsia="en-US"/>
              </w:rPr>
            </w:pPr>
            <w:r>
              <w:rPr>
                <w:rFonts w:hint="eastAsia" w:ascii="Times New Roman" w:hAnsi="Times New Roman" w:eastAsia="宋体"/>
                <w:sz w:val="24"/>
                <w:lang w:eastAsia="en-US"/>
              </w:rPr>
              <w:t>2.运行推广规划方案</w:t>
            </w:r>
          </w:p>
        </w:tc>
        <w:tc>
          <w:tcPr>
            <w:tcW w:w="5076" w:type="dxa"/>
            <w:noWrap w:val="0"/>
            <w:vAlign w:val="center"/>
          </w:tcPr>
          <w:p>
            <w:pPr>
              <w:autoSpaceDE w:val="0"/>
              <w:autoSpaceDN w:val="0"/>
              <w:spacing w:beforeAutospacing="1" w:after="160" w:line="276" w:lineRule="auto"/>
              <w:jc w:val="left"/>
              <w:rPr>
                <w:sz w:val="24"/>
                <w:highlight w:val="yellow"/>
                <w:lang w:eastAsia="zh-CN"/>
              </w:rPr>
            </w:pPr>
            <w:r>
              <w:rPr>
                <w:rFonts w:hint="eastAsia" w:cs="Times New Roman"/>
                <w:sz w:val="24"/>
                <w:lang w:eastAsia="zh-CN"/>
              </w:rPr>
              <w:t>提供一套完整的运行培训方案，涵盖课程运行各环节的培训要点，包括但不限于课程平台操作培训、教学方法与课程内容融合培训、学员互动与反馈机制培训等，确保参与课程运行的教师、工作人员等能快速熟悉并高效开展课程运行工作。</w:t>
            </w:r>
          </w:p>
        </w:tc>
      </w:tr>
    </w:tbl>
    <w:p>
      <w:pPr>
        <w:pStyle w:val="4"/>
        <w:numPr>
          <w:numId w:val="0"/>
        </w:numPr>
        <w:spacing w:line="400" w:lineRule="exact"/>
        <w:rPr>
          <w:rFonts w:hint="default" w:hAnsi="宋体" w:cs="宋体"/>
          <w:b/>
          <w:bCs/>
          <w:sz w:val="28"/>
          <w:szCs w:val="28"/>
          <w:lang w:val="en-US" w:eastAsia="zh-CN"/>
        </w:rPr>
      </w:pPr>
    </w:p>
    <w:p>
      <w:pPr>
        <w:pStyle w:val="4"/>
        <w:numPr>
          <w:ilvl w:val="0"/>
          <w:numId w:val="0"/>
        </w:numPr>
        <w:spacing w:line="400" w:lineRule="exact"/>
        <w:rPr>
          <w:rFonts w:hint="eastAsia" w:hAnsi="宋体" w:cs="宋体"/>
          <w:b/>
          <w:bCs/>
          <w:sz w:val="28"/>
          <w:szCs w:val="28"/>
          <w:lang w:val="en-US" w:eastAsia="zh-CN"/>
        </w:rPr>
      </w:pPr>
    </w:p>
    <w:p>
      <w:pPr>
        <w:pStyle w:val="4"/>
        <w:numPr>
          <w:ilvl w:val="0"/>
          <w:numId w:val="0"/>
        </w:numPr>
        <w:spacing w:line="400" w:lineRule="exact"/>
        <w:rPr>
          <w:rFonts w:hint="default" w:hAnsi="宋体" w:eastAsia="宋体" w:cs="宋体"/>
          <w:b/>
          <w:bCs/>
          <w:sz w:val="28"/>
          <w:szCs w:val="28"/>
          <w:lang w:val="en-US" w:eastAsia="zh-CN"/>
        </w:rPr>
      </w:pPr>
      <w:r>
        <w:rPr>
          <w:rFonts w:hint="eastAsia" w:hAnsi="宋体" w:cs="宋体"/>
          <w:b/>
          <w:bCs/>
          <w:sz w:val="28"/>
          <w:szCs w:val="28"/>
          <w:lang w:val="en-US" w:eastAsia="zh-CN"/>
        </w:rPr>
        <w:t>操作演示视频：</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支持从课程目标和学生两个层面展示课程达成度情况，包含综合达成度统计、课程目标达成度分析、学生数据分析等，全面体现课程教学基于成果导向的教学质量分析数据。支持基于统计数据一键生成AI课程达成度报告，报告内容需包含AI评价分析、改进建议等。</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rPr>
        <w:t>作业智能查重：比对基础库中的数据包含图书、报纸、期刊、网络文档等多种文献类型；支持选择不同的比对库，包含全部全文比对库、图书全文比对库、非图书全文比对库、法律法规比对库、自建库选择进行检测。支持根据上传的检测文献生成检测报告，支持查看在线报告，也支持批量下载全部检测报告、批量下载PDF报告（简结报告、全文检测报告）和HTML报告（综合评估、相似片段、全文对比）进行查看和打印，（PDF报告和HTML报告均提供相似度检测专用印章）。</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虚拟展厅：</w:t>
      </w:r>
      <w:r>
        <w:rPr>
          <w:rFonts w:hint="eastAsia" w:ascii="宋体" w:hAnsi="宋体" w:eastAsia="宋体" w:cs="宋体"/>
          <w:sz w:val="28"/>
          <w:szCs w:val="28"/>
        </w:rPr>
        <w:t>基于智慧专业及智慧课程门户，用户通过填写基础课程信息并选用预设三维空间模板，即可高效生成标准化虚拟展厅，并自动嵌入课程门户页面，实现课程资源的统一集成展示。</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rPr>
        <w:t>在线修订编辑：要求提供集成式的培养方案在线编辑器，在一个编辑器内完成对人才培养方案的在线编辑修订。编辑器支持富文本格式，支持常用的内容格式控制，如字体、字号、颜色、多级标题、行间距、对齐控制、分页功能等，支持添加特殊字符。需要支持导入培养方案文件，支持将当前方案存为模板。</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rPr>
        <w:t>系统支持提供安全检测，支持提供全面的多模态敏感内容检测能力，支持文本、图片、视频和文档的智能识别：文本检测结合快速规则算法和语义分析模型，可识别涉政、谩骂等七类敏感内容；图片检测采用分类模型、目标检测和人脸识别技术，精准识别涉政、色情等六类敏感图片；视频检测基于图像模型实现离线敏感内容分析；文档检测可解析Word、TXT、PPT等多种格式，精确定位文本和图片中的敏感信息并还原文档位置。所有检测模块均支持用户自定义规则和样本库扩展。</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rPr>
        <w:t>支持章节视频任务点、作业、考试异常行为监控。支持教师查看学生学习监控数据，若有异常学习行为，可清除其学习记录。支持学生进入课程、观看视频时进行人脸识别和抓拍。观看视频抓拍需要支持视频起始、视频播放、视频暂停再播放、视频结束抓拍设置，也支持播放中的定时抓拍，如10分钟抓拍一次和随机抓拍。识别失败支持记录并继续学习和不允许学习的配置。</w:t>
      </w:r>
    </w:p>
    <w:p>
      <w:pPr>
        <w:pStyle w:val="4"/>
        <w:numPr>
          <w:ilvl w:val="0"/>
          <w:numId w:val="0"/>
        </w:numPr>
        <w:spacing w:line="400" w:lineRule="exac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截图项目：</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both"/>
        <w:textAlignment w:val="auto"/>
        <w:outlineLvl w:val="9"/>
        <w:rPr>
          <w:rFonts w:hint="eastAsia"/>
          <w:lang w:val="en-US" w:eastAsia="zh-CN"/>
        </w:rPr>
      </w:pPr>
      <w:r>
        <w:rPr>
          <w:rFonts w:hint="eastAsia" w:ascii="宋体" w:hAnsi="宋体" w:eastAsia="宋体" w:cs="宋体"/>
          <w:kern w:val="2"/>
          <w:sz w:val="28"/>
          <w:szCs w:val="28"/>
          <w:lang w:val="en-US" w:eastAsia="zh-CN" w:bidi="ar-SA"/>
        </w:rPr>
        <w:t>1.知识图谱构建：支持与教学平台打通，可通过教学平台现有课程章节选择生成章节图谱。</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both"/>
        <w:textAlignment w:val="auto"/>
        <w:outlineLvl w:val="9"/>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2</w:t>
      </w:r>
      <w:r>
        <w:rPr>
          <w:rFonts w:hint="eastAsia" w:ascii="宋体" w:hAnsi="宋体" w:eastAsia="宋体" w:cs="宋体"/>
          <w:kern w:val="2"/>
          <w:sz w:val="28"/>
          <w:szCs w:val="28"/>
          <w:lang w:val="en-US" w:eastAsia="zh-CN" w:bidi="ar-SA"/>
        </w:rPr>
        <w:t>.</w:t>
      </w:r>
      <w:r>
        <w:rPr>
          <w:rFonts w:hint="eastAsia" w:ascii="宋体" w:hAnsi="宋体" w:eastAsia="宋体" w:cs="宋体"/>
          <w:b w:val="0"/>
          <w:bCs w:val="0"/>
          <w:kern w:val="2"/>
          <w:sz w:val="28"/>
          <w:szCs w:val="28"/>
          <w:lang w:val="en-US" w:eastAsia="zh-CN" w:bidi="ar-SA"/>
        </w:rPr>
        <w:t>AI学情分析：支持智能呈现班级整体知识点分析数据，提供个性化学习路径。支持按知识点查看关联的学习资源数、平均完成率、平均掌握率、课程资料数、课程资料人均阅读情况等。基于AI学情分析，可由AI生成学情分析画像，减轻教师学情分析压力，提升效率。</w:t>
      </w:r>
      <w:r>
        <w:rPr>
          <w:rFonts w:hint="eastAsia" w:ascii="宋体" w:hAnsi="宋体" w:eastAsia="宋体" w:cs="宋体"/>
          <w:b w:val="0"/>
          <w:bCs w:val="0"/>
          <w:kern w:val="2"/>
          <w:sz w:val="28"/>
          <w:szCs w:val="28"/>
          <w:lang w:val="en-US" w:eastAsia="zh-CN" w:bidi="ar-SA"/>
        </w:rPr>
        <w:tab/>
      </w:r>
      <w:r>
        <w:rPr>
          <w:rFonts w:hint="eastAsia" w:ascii="宋体" w:hAnsi="宋体" w:eastAsia="宋体" w:cs="宋体"/>
          <w:b w:val="0"/>
          <w:bCs w:val="0"/>
          <w:kern w:val="2"/>
          <w:sz w:val="28"/>
          <w:szCs w:val="28"/>
          <w:lang w:val="en-US" w:eastAsia="zh-CN" w:bidi="ar-SA"/>
        </w:rPr>
        <w:t>3.专业达成度：支持从课程目标和学生两个层面展示综合达成度统计、课程目标达成度分析、学生数据分析等内容，全面体现课程教学基于成果导向的教学质量分析数据。支持AI一键生成课程达成度报告。支持按班级、专业双维度自动输出课程达成度结果，报告支持自定义表格、标题、内容，内容包括课程基本信息、课程目标信息、考核与评价表、课程目标与毕业要求权重表等。在专业建设的课程层达成度数据输出上，高效准确的自动生成整体分析报告。</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both"/>
        <w:textAlignment w:val="auto"/>
        <w:outlineLvl w:val="9"/>
        <w:rPr>
          <w:rFonts w:hint="eastAsia"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4.需要内置符合学校培养方案标准和样式的课程体系维护组件，内置的组件至少包含：培养目标、毕业要求、毕业要求指标、课程支撑毕业要求关系表、毕业要求支撑培养目标关系表、标准教学计划进度表、学时学分统计表、课程拓扑图等。支持根据学校实际表结构定制相关组件。</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both"/>
        <w:textAlignment w:val="auto"/>
        <w:outlineLvl w:val="9"/>
        <w:rPr>
          <w:rFonts w:hint="default" w:ascii="宋体" w:hAnsi="宋体" w:eastAsia="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5.AI实践：系统提供AI实践功能，需包含情景对话、上传作品、思维阶梯、口语通练、代码编辑、智能体评估等方式创建实践任务，其中针对思维阶梯型任务，需支持教师围绕核心问题预设多层认知维度，学生需逐层作答解锁，任务可设置简明标题，并选择“阶梯闯关”（客观题逐层突破）或“主干生长”（主观题综合追问）类型。教师可定义考核维度及知识点，设置难度等级，并借助AI从多种来源出题。学生按任务路径进行答题，界面需显示任务路径、知识图谱等内容，学生结束任务之后，最终生成学习质量评估报告，报告需包含知识维度掌握情况、知识点掌握情况以及强化学习建议并提供相关资源推荐。</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both"/>
        <w:textAlignment w:val="auto"/>
        <w:outlineLvl w:val="9"/>
        <w:rPr>
          <w:rFonts w:hint="eastAsia" w:ascii="宋体" w:hAnsi="宋体" w:cs="宋体"/>
          <w:b w:val="0"/>
          <w:bCs w:val="0"/>
          <w:kern w:val="2"/>
          <w:sz w:val="28"/>
          <w:szCs w:val="28"/>
          <w:lang w:val="en-US" w:eastAsia="zh-CN" w:bidi="ar-SA"/>
        </w:rPr>
      </w:pPr>
      <w:r>
        <w:rPr>
          <w:rFonts w:hint="eastAsia" w:ascii="宋体" w:hAnsi="宋体" w:eastAsia="宋体" w:cs="宋体"/>
          <w:b w:val="0"/>
          <w:bCs w:val="0"/>
          <w:kern w:val="2"/>
          <w:sz w:val="28"/>
          <w:szCs w:val="28"/>
          <w:lang w:val="en-US" w:eastAsia="zh-CN" w:bidi="ar-SA"/>
        </w:rPr>
        <w:t>6.共享本机屏幕与学生设备：共享时，可选择共享桌面、也可选择单一浏览器、PPT等其他软件窗口，支持选择是否开启画中画、同时共享电脑声音；支持将授课设备屏幕或窗口共享给侧屏、学生设备、线上课堂内成员；支持同时选择不少于6位学生，将学生屏幕展示时到授课电脑或大屏上，学生屏幕包含移动设备、pad、Windows电脑、Mac；支持多学生屏幕以宫格视图展示和一位学生屏幕放大展示两种视图切换；教师可控制是否投屏学生设备声音及关闭学生屏幕共享</w:t>
      </w:r>
      <w:r>
        <w:rPr>
          <w:rFonts w:hint="eastAsia" w:ascii="宋体" w:hAnsi="宋体" w:cs="宋体"/>
          <w:b w:val="0"/>
          <w:bCs w:val="0"/>
          <w:kern w:val="2"/>
          <w:sz w:val="28"/>
          <w:szCs w:val="28"/>
          <w:lang w:val="en-US" w:eastAsia="zh-CN" w:bidi="ar-SA"/>
        </w:rPr>
        <w:t>。</w:t>
      </w:r>
    </w:p>
    <w:p>
      <w:pPr>
        <w:bidi w:val="0"/>
        <w:rPr>
          <w:rFonts w:hint="eastAsia" w:ascii="Times New Roman" w:hAnsi="Times New Roman" w:eastAsia="宋体" w:cs="Times New Roman"/>
          <w:kern w:val="2"/>
          <w:sz w:val="21"/>
          <w:szCs w:val="24"/>
          <w:lang w:val="en-US" w:eastAsia="zh-CN" w:bidi="ar-SA"/>
        </w:rPr>
      </w:pPr>
    </w:p>
    <w:p>
      <w:pPr>
        <w:bidi w:val="0"/>
        <w:jc w:val="left"/>
        <w:rPr>
          <w:rFonts w:hint="eastAsia" w:ascii="宋体" w:hAnsi="宋体" w:eastAsia="宋体" w:cs="宋体"/>
          <w:b w:val="0"/>
          <w:bCs w:val="0"/>
          <w:color w:val="000000"/>
          <w:spacing w:val="-1"/>
          <w:kern w:val="0"/>
          <w:sz w:val="44"/>
          <w:szCs w:val="44"/>
          <w:vertAlign w:val="baseline"/>
          <w:lang w:val="en-US" w:eastAsia="zh-CN" w:bidi="ar"/>
        </w:rPr>
      </w:pPr>
      <w:r>
        <w:rPr>
          <w:rFonts w:hint="eastAsia" w:ascii="宋体" w:hAnsi="宋体" w:eastAsia="宋体" w:cs="宋体"/>
          <w:b w:val="0"/>
          <w:bCs w:val="0"/>
          <w:color w:val="000000"/>
          <w:spacing w:val="-1"/>
          <w:kern w:val="0"/>
          <w:sz w:val="44"/>
          <w:szCs w:val="44"/>
          <w:vertAlign w:val="baseline"/>
          <w:lang w:val="en-US" w:eastAsia="zh-CN" w:bidi="ar"/>
        </w:rPr>
        <w:t>其他要求：</w:t>
      </w:r>
    </w:p>
    <w:p>
      <w:pPr>
        <w:pStyle w:val="2"/>
        <w:keepNext/>
        <w:keepLines/>
        <w:pageBreakBefore w:val="0"/>
        <w:widowControl w:val="0"/>
        <w:kinsoku/>
        <w:wordWrap/>
        <w:overflowPunct/>
        <w:topLinePunct w:val="0"/>
        <w:autoSpaceDE/>
        <w:autoSpaceDN/>
        <w:bidi w:val="0"/>
        <w:adjustRightInd/>
        <w:snapToGrid/>
        <w:spacing w:before="0" w:after="0" w:line="240" w:lineRule="auto"/>
        <w:textAlignment w:val="auto"/>
        <w:rPr>
          <w:rFonts w:hint="default" w:ascii="宋体" w:hAnsi="宋体" w:eastAsia="宋体" w:cs="宋体"/>
          <w:b w:val="0"/>
          <w:bCs w:val="0"/>
          <w:color w:val="000000"/>
          <w:spacing w:val="-1"/>
          <w:kern w:val="0"/>
          <w:sz w:val="28"/>
          <w:szCs w:val="28"/>
          <w:vertAlign w:val="baseline"/>
          <w:lang w:val="en-US" w:eastAsia="zh-CN" w:bidi="ar"/>
        </w:rPr>
      </w:pPr>
      <w:r>
        <w:rPr>
          <w:rFonts w:hint="eastAsia" w:ascii="宋体" w:hAnsi="宋体" w:cs="宋体"/>
          <w:b w:val="0"/>
          <w:bCs w:val="0"/>
          <w:color w:val="000000"/>
          <w:spacing w:val="-1"/>
          <w:kern w:val="0"/>
          <w:sz w:val="28"/>
          <w:szCs w:val="28"/>
          <w:vertAlign w:val="baseline"/>
          <w:lang w:val="en-US" w:eastAsia="zh-CN" w:bidi="ar"/>
        </w:rPr>
        <w:t>1</w:t>
      </w:r>
      <w:r>
        <w:rPr>
          <w:rFonts w:hint="eastAsia" w:ascii="宋体" w:hAnsi="宋体" w:eastAsia="宋体" w:cs="宋体"/>
          <w:b w:val="0"/>
          <w:bCs w:val="0"/>
          <w:color w:val="000000"/>
          <w:spacing w:val="-1"/>
          <w:kern w:val="0"/>
          <w:sz w:val="28"/>
          <w:szCs w:val="28"/>
          <w:vertAlign w:val="baseline"/>
          <w:lang w:val="en-US" w:eastAsia="zh-CN" w:bidi="ar"/>
        </w:rPr>
        <w:t>、服务完成时间：合同签订之后90日内完成。</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Chars="0" w:right="0" w:rightChars="0"/>
        <w:jc w:val="left"/>
        <w:textAlignment w:val="baseline"/>
        <w:rPr>
          <w:rFonts w:hint="eastAsia" w:ascii="宋体" w:hAnsi="宋体" w:eastAsia="宋体" w:cs="宋体"/>
          <w:b w:val="0"/>
          <w:bCs w:val="0"/>
          <w:color w:val="000000"/>
          <w:spacing w:val="-1"/>
          <w:sz w:val="28"/>
          <w:szCs w:val="28"/>
          <w:vertAlign w:val="baseline"/>
          <w:lang w:val="en-US" w:eastAsia="zh-CN"/>
        </w:rPr>
      </w:pPr>
      <w:r>
        <w:rPr>
          <w:rFonts w:hint="eastAsia" w:ascii="宋体" w:hAnsi="宋体" w:cs="宋体"/>
          <w:b w:val="0"/>
          <w:bCs w:val="0"/>
          <w:color w:val="000000"/>
          <w:spacing w:val="-1"/>
          <w:sz w:val="28"/>
          <w:szCs w:val="28"/>
          <w:vertAlign w:val="baseline"/>
          <w:lang w:val="en-US" w:eastAsia="zh-CN"/>
        </w:rPr>
        <w:t>2、</w:t>
      </w:r>
      <w:r>
        <w:rPr>
          <w:rFonts w:hint="eastAsia" w:ascii="宋体" w:hAnsi="宋体" w:eastAsia="宋体" w:cs="宋体"/>
          <w:b w:val="0"/>
          <w:bCs w:val="0"/>
          <w:color w:val="000000"/>
          <w:spacing w:val="-1"/>
          <w:sz w:val="28"/>
          <w:szCs w:val="28"/>
          <w:vertAlign w:val="baseline"/>
          <w:lang w:val="en-US" w:eastAsia="zh-CN"/>
        </w:rPr>
        <w:t>付款方式：</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83" w:beforeAutospacing="0" w:after="0" w:afterAutospacing="0" w:line="218" w:lineRule="atLeast"/>
        <w:ind w:left="112" w:leftChars="0" w:right="0" w:rightChars="0"/>
        <w:jc w:val="left"/>
        <w:textAlignment w:val="baseline"/>
        <w:rPr>
          <w:rFonts w:hint="eastAsia" w:ascii="宋体" w:hAnsi="宋体" w:eastAsia="宋体" w:cs="宋体"/>
          <w:b w:val="0"/>
          <w:bCs w:val="0"/>
          <w:color w:val="000000"/>
          <w:spacing w:val="-1"/>
          <w:sz w:val="28"/>
          <w:szCs w:val="28"/>
          <w:vertAlign w:val="baseline"/>
          <w:lang w:val="en-US" w:eastAsia="zh-CN"/>
        </w:rPr>
      </w:pPr>
      <w:r>
        <w:rPr>
          <w:rFonts w:hint="eastAsia" w:ascii="宋体" w:hAnsi="宋体" w:eastAsia="宋体" w:cs="宋体"/>
          <w:b w:val="0"/>
          <w:bCs w:val="0"/>
          <w:color w:val="000000"/>
          <w:spacing w:val="-1"/>
          <w:sz w:val="28"/>
          <w:szCs w:val="28"/>
          <w:vertAlign w:val="baseline"/>
          <w:lang w:val="en-US" w:eastAsia="zh-CN"/>
        </w:rPr>
        <w:t>（1）预付款，合同签订完毕后供应商按采购人要求的时间内提供有效发票(合同总金额的50%)，采购人收到供应商开具的有效发票后，达到付款条件起14日内，支</w:t>
      </w:r>
      <w:bookmarkStart w:id="2" w:name="_GoBack"/>
      <w:bookmarkEnd w:id="2"/>
      <w:r>
        <w:rPr>
          <w:rFonts w:hint="eastAsia" w:ascii="宋体" w:hAnsi="宋体" w:eastAsia="宋体" w:cs="宋体"/>
          <w:b w:val="0"/>
          <w:bCs w:val="0"/>
          <w:color w:val="000000"/>
          <w:spacing w:val="-1"/>
          <w:sz w:val="28"/>
          <w:szCs w:val="28"/>
          <w:vertAlign w:val="baseline"/>
          <w:lang w:val="en-US" w:eastAsia="zh-CN"/>
        </w:rPr>
        <w:t>付合同总金额的50.00%。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83" w:beforeAutospacing="0" w:after="0" w:afterAutospacing="0" w:line="218" w:lineRule="atLeast"/>
        <w:ind w:left="112" w:right="0" w:firstLine="0"/>
        <w:jc w:val="left"/>
        <w:textAlignment w:val="baseline"/>
        <w:rPr>
          <w:rFonts w:hint="default"/>
          <w:sz w:val="28"/>
          <w:szCs w:val="28"/>
          <w:lang w:val="en-US" w:eastAsia="zh-CN"/>
        </w:rPr>
      </w:pPr>
      <w:r>
        <w:rPr>
          <w:rFonts w:hint="eastAsia" w:ascii="宋体" w:hAnsi="宋体" w:eastAsia="宋体" w:cs="宋体"/>
          <w:b w:val="0"/>
          <w:bCs w:val="0"/>
          <w:color w:val="000000"/>
          <w:spacing w:val="-1"/>
          <w:sz w:val="28"/>
          <w:szCs w:val="28"/>
          <w:vertAlign w:val="baseline"/>
          <w:lang w:val="en-US" w:eastAsia="zh-CN"/>
        </w:rPr>
        <w:t>（2）尾款，验收合格后供应商按采购人要求的时间内提供有效发票(剩余合同金额)，采购人收到供应商开具的有效发票后，达到付款条件起14日内，支付合同总金额的50.00%按合同约定方式支付。</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2870E7"/>
    <w:multiLevelType w:val="singleLevel"/>
    <w:tmpl w:val="0F2870E7"/>
    <w:lvl w:ilvl="0" w:tentative="0">
      <w:start w:val="1"/>
      <w:numFmt w:val="chineseCounting"/>
      <w:suff w:val="nothing"/>
      <w:lvlText w:val="%1、"/>
      <w:lvlJc w:val="left"/>
      <w:rPr>
        <w:rFonts w:hint="eastAsia"/>
      </w:rPr>
    </w:lvl>
  </w:abstractNum>
  <w:abstractNum w:abstractNumId="1">
    <w:nsid w:val="54D86845"/>
    <w:multiLevelType w:val="singleLevel"/>
    <w:tmpl w:val="54D86845"/>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YzNlNzRlNTQ5ZDhlMDk3MDliMjc4ZmZjMTc0MmQifQ=="/>
  </w:docVars>
  <w:rsids>
    <w:rsidRoot w:val="00000000"/>
    <w:rsid w:val="2F860ADE"/>
    <w:rsid w:val="3738356F"/>
    <w:rsid w:val="3C243C4B"/>
    <w:rsid w:val="56472B55"/>
    <w:rsid w:val="57D43521"/>
    <w:rsid w:val="5C9016CF"/>
    <w:rsid w:val="7F217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keepNext/>
      <w:keepLines/>
      <w:widowControl w:val="0"/>
      <w:spacing w:before="340" w:after="330" w:line="576" w:lineRule="auto"/>
      <w:outlineLvl w:val="0"/>
    </w:pPr>
    <w:rPr>
      <w:b/>
      <w:bCs/>
      <w:kern w:val="44"/>
      <w:sz w:val="44"/>
      <w:szCs w:val="44"/>
    </w:rPr>
  </w:style>
  <w:style w:type="character" w:default="1" w:styleId="11">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uiPriority w:val="0"/>
    <w:pPr>
      <w:spacing w:after="120"/>
    </w:pPr>
    <w:rPr>
      <w:rFonts w:ascii="Calibri" w:hAnsi="Calibri"/>
      <w:szCs w:val="22"/>
    </w:rPr>
  </w:style>
  <w:style w:type="paragraph" w:styleId="4">
    <w:name w:val="Plain Text"/>
    <w:basedOn w:val="1"/>
    <w:qFormat/>
    <w:uiPriority w:val="0"/>
    <w:rPr>
      <w:rFonts w:ascii="宋体" w:hAnsi="Courier New" w:cs="Courier New"/>
      <w:szCs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3"/>
    <w:qFormat/>
    <w:uiPriority w:val="0"/>
    <w:pPr>
      <w:spacing w:line="278" w:lineRule="auto"/>
      <w:ind w:firstLine="420" w:firstLineChars="100"/>
    </w:pPr>
    <w:rPr>
      <w:rFonts w:ascii="Calibri" w:hAnsi="Calibri" w:eastAsia="宋体" w:cs="Times New Roman"/>
      <w:szCs w:val="24"/>
    </w:rPr>
  </w:style>
  <w:style w:type="table" w:styleId="10">
    <w:name w:val="Table Grid"/>
    <w:basedOn w:val="9"/>
    <w:qFormat/>
    <w:uiPriority w:val="0"/>
    <w:pPr>
      <w:widowControl w:val="0"/>
      <w:autoSpaceDE w:val="0"/>
      <w:autoSpaceDN w:val="0"/>
    </w:pPr>
    <w:rPr>
      <w:sz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4884</Words>
  <Characters>5041</Characters>
  <Lines>0</Lines>
  <Paragraphs>0</Paragraphs>
  <TotalTime>3</TotalTime>
  <ScaleCrop>false</ScaleCrop>
  <LinksUpToDate>false</LinksUpToDate>
  <CharactersWithSpaces>5042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2025-10-29T06:12:00Z</dcterms:created>
  <dc:creator>Administrator</dc:creator>
  <cp:lastModifiedBy>hp</cp:lastModifiedBy>
  <dcterms:modified xsi:type="dcterms:W3CDTF">2025-11-04T07:21:55Z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KSOTemplateDocerSaveRecord">
    <vt:lpwstr>eyJoZGlkIjoiMWZkMzU2NTczODJlNDZkMjQxNTQxZjZjMWQ0NDMzZDgiLCJ1c2VySWQiOiIxMTcyMzk0ODM4In0=</vt:lpwstr>
  </property>
  <property fmtid="{D5CDD505-2E9C-101B-9397-08002B2CF9AE}" pid="4" name="ICV">
    <vt:lpwstr>417F6AE408A447DC9CDDF3DCC066163A_12</vt:lpwstr>
  </property>
</Properties>
</file>