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left"/>
        <w:rPr>
          <w:rFonts w:ascii="方正黑体-简" w:hAnsi="方正黑体-简" w:eastAsia="方正黑体-简" w:cs="方正黑体-简"/>
          <w:sz w:val="28"/>
          <w:szCs w:val="28"/>
        </w:rPr>
      </w:pPr>
      <w:r>
        <w:rPr>
          <w:rFonts w:ascii="方正黑体-简" w:hAnsi="方正黑体-简" w:eastAsia="方正黑体-简" w:cs="方正黑体-简"/>
          <w:sz w:val="28"/>
          <w:szCs w:val="28"/>
        </w:rPr>
        <w:t>附件一</w:t>
      </w:r>
    </w:p>
    <w:p>
      <w:pPr>
        <w:pStyle w:val="4"/>
        <w:jc w:val="center"/>
        <w:rPr>
          <w:rFonts w:ascii="方正黑体-简" w:hAnsi="方正黑体-简" w:eastAsia="方正黑体-简" w:cs="方正黑体-简"/>
          <w:b/>
          <w:bCs/>
          <w:sz w:val="32"/>
          <w:szCs w:val="32"/>
        </w:rPr>
      </w:pPr>
      <w:r>
        <w:rPr>
          <w:rFonts w:hint="eastAsia" w:ascii="方正黑体-简" w:hAnsi="方正黑体-简" w:eastAsia="方正黑体-简" w:cs="方正黑体-简"/>
          <w:b/>
          <w:bCs/>
          <w:sz w:val="32"/>
          <w:szCs w:val="32"/>
        </w:rPr>
        <w:t>采购项目的技术（服务）需求</w:t>
      </w:r>
    </w:p>
    <w:p>
      <w:pPr>
        <w:pStyle w:val="4"/>
        <w:ind w:firstLine="480" w:firstLineChars="200"/>
        <w:rPr>
          <w:rFonts w:ascii="方正书宋-简" w:hAnsi="方正书宋-简" w:eastAsia="方正书宋-简" w:cs="方正书宋-简"/>
          <w:sz w:val="24"/>
          <w:szCs w:val="24"/>
        </w:rPr>
      </w:pPr>
      <w:r>
        <w:rPr>
          <w:rFonts w:hint="eastAsia" w:ascii="方正书宋-简" w:hAnsi="方正书宋-简" w:eastAsia="方正书宋-简" w:cs="方正书宋-简"/>
          <w:sz w:val="24"/>
          <w:szCs w:val="24"/>
        </w:rPr>
        <w:t>（提供详细采购清单及技术参数、具体服务内容。不得含有资格条件条款，请详细阅读填写注意事项。如分包则按包件号逐包填写）</w:t>
      </w:r>
    </w:p>
    <w:p>
      <w:pPr>
        <w:pStyle w:val="4"/>
        <w:ind w:firstLine="480" w:firstLineChars="200"/>
        <w:rPr>
          <w:rFonts w:ascii="方正书宋-简" w:hAnsi="方正书宋-简" w:eastAsia="方正书宋-简" w:cs="方正书宋-简"/>
          <w:sz w:val="24"/>
          <w:szCs w:val="24"/>
        </w:rPr>
      </w:pPr>
      <w:r>
        <w:rPr>
          <w:rFonts w:hint="eastAsia" w:ascii="方正书宋-简" w:hAnsi="方正书宋-简" w:eastAsia="方正书宋-简" w:cs="方正书宋-简"/>
          <w:sz w:val="24"/>
          <w:szCs w:val="24"/>
        </w:rPr>
        <w:t>各包描述。（限清单和技术参数，应根据采购需求提供合适的性能指标、技术参数，不能直接搬用产品技术说明或参数表，不能具有倾向性、指向性）</w:t>
      </w:r>
    </w:p>
    <w:p>
      <w:pPr>
        <w:pStyle w:val="4"/>
        <w:numPr>
          <w:ilvl w:val="0"/>
          <w:numId w:val="1"/>
        </w:numPr>
        <w:rPr>
          <w:rFonts w:ascii="方正黑体-简" w:hAnsi="方正黑体-简" w:eastAsia="方正黑体-简" w:cs="方正黑体-简"/>
          <w:sz w:val="24"/>
          <w:szCs w:val="24"/>
        </w:rPr>
      </w:pPr>
      <w:r>
        <w:rPr>
          <w:rFonts w:hint="eastAsia" w:ascii="方正黑体-简" w:hAnsi="方正黑体-简" w:eastAsia="方正黑体-简" w:cs="方正黑体-简"/>
          <w:sz w:val="24"/>
          <w:szCs w:val="24"/>
        </w:rPr>
        <w:t>采购项目概况</w:t>
      </w:r>
    </w:p>
    <w:p>
      <w:pPr>
        <w:pStyle w:val="4"/>
        <w:ind w:firstLine="480" w:firstLineChars="200"/>
        <w:rPr>
          <w:rFonts w:ascii="方正书宋-简" w:hAnsi="方正书宋-简" w:eastAsia="方正书宋-简" w:cs="方正书宋-简"/>
          <w:sz w:val="24"/>
          <w:szCs w:val="24"/>
        </w:rPr>
      </w:pPr>
      <w:r>
        <w:rPr>
          <w:rFonts w:hint="eastAsia" w:ascii="方正书宋-简" w:hAnsi="方正书宋-简" w:eastAsia="方正书宋-简" w:cs="方正书宋-简"/>
          <w:sz w:val="24"/>
          <w:szCs w:val="24"/>
        </w:rPr>
        <w:t>“茶艺师（初级5级、中级4级、高级3级）、互联网营销师</w:t>
      </w:r>
      <w:r>
        <w:rPr>
          <w:rFonts w:hint="eastAsia" w:ascii="方正书宋-简" w:hAnsi="方正书宋-简" w:eastAsia="方正书宋-简" w:cs="方正书宋-简"/>
          <w:sz w:val="24"/>
        </w:rPr>
        <w:t>（</w:t>
      </w:r>
      <w:r>
        <w:rPr>
          <w:rFonts w:hint="eastAsia" w:ascii="方正书宋-简" w:hAnsi="方正书宋-简" w:eastAsia="方正书宋-简" w:cs="方正书宋-简"/>
          <w:spacing w:val="-7"/>
          <w:sz w:val="24"/>
        </w:rPr>
        <w:t>直播销售员）</w:t>
      </w:r>
      <w:r>
        <w:rPr>
          <w:rFonts w:hint="eastAsia" w:ascii="方正书宋-简" w:hAnsi="方正书宋-简" w:eastAsia="方正书宋-简" w:cs="方正书宋-简"/>
          <w:sz w:val="24"/>
          <w:szCs w:val="24"/>
        </w:rPr>
        <w:t>（初级5级、中级4级、高级3级）2个工种，每个工种分为3个等级，共计6个等级的职业技能等级认定题库</w:t>
      </w:r>
      <w:r>
        <w:rPr>
          <w:rFonts w:ascii="方正书宋-简" w:hAnsi="方正书宋-简" w:eastAsia="方正书宋-简" w:cs="方正书宋-简"/>
          <w:sz w:val="24"/>
          <w:szCs w:val="24"/>
        </w:rPr>
        <w:t>（工种）</w:t>
      </w:r>
      <w:r>
        <w:rPr>
          <w:rFonts w:hint="eastAsia" w:ascii="方正书宋-简" w:hAnsi="方正书宋-简" w:eastAsia="方正书宋-简" w:cs="方正书宋-简"/>
          <w:sz w:val="24"/>
          <w:szCs w:val="24"/>
        </w:rPr>
        <w:t>建设</w:t>
      </w:r>
      <w:r>
        <w:rPr>
          <w:rFonts w:ascii="方正书宋-简" w:hAnsi="方正书宋-简" w:eastAsia="方正书宋-简" w:cs="方正书宋-简"/>
          <w:sz w:val="24"/>
          <w:szCs w:val="24"/>
        </w:rPr>
        <w:t>。</w:t>
      </w:r>
      <w:r>
        <w:rPr>
          <w:rFonts w:hint="eastAsia" w:ascii="方正书宋-简" w:hAnsi="方正书宋-简" w:eastAsia="方正书宋-简" w:cs="方正书宋-简"/>
          <w:sz w:val="24"/>
          <w:szCs w:val="24"/>
        </w:rPr>
        <w:t>其中初级工、中级工理论试题题量为1200道，高级工理论试题题量为1400道；初级工、中级工、高级工、操作试题题量为25道；（如题库建设过程中标准调整，则以最新标准要求为准）</w:t>
      </w:r>
    </w:p>
    <w:p>
      <w:pPr>
        <w:pStyle w:val="4"/>
        <w:numPr>
          <w:ilvl w:val="0"/>
          <w:numId w:val="1"/>
        </w:numPr>
        <w:rPr>
          <w:rFonts w:ascii="方正黑体-简" w:hAnsi="方正黑体-简" w:eastAsia="方正黑体-简" w:cs="方正黑体-简"/>
          <w:sz w:val="24"/>
          <w:szCs w:val="24"/>
        </w:rPr>
      </w:pPr>
      <w:r>
        <w:rPr>
          <w:rFonts w:hint="eastAsia" w:ascii="方正黑体-简" w:hAnsi="方正黑体-简" w:eastAsia="方正黑体-简" w:cs="方正黑体-简"/>
          <w:sz w:val="24"/>
          <w:szCs w:val="24"/>
        </w:rPr>
        <w:t>采购内容</w:t>
      </w:r>
    </w:p>
    <w:p>
      <w:pPr>
        <w:pStyle w:val="4"/>
        <w:ind w:firstLine="480" w:firstLineChars="200"/>
        <w:rPr>
          <w:rFonts w:ascii="方正书宋-简" w:hAnsi="方正书宋-简" w:eastAsia="方正书宋-简" w:cs="方正书宋-简"/>
          <w:sz w:val="24"/>
          <w:szCs w:val="24"/>
        </w:rPr>
      </w:pPr>
      <w:r>
        <w:rPr>
          <w:rFonts w:hint="eastAsia" w:ascii="方正书宋-简" w:hAnsi="方正书宋-简" w:eastAsia="方正书宋-简" w:cs="方正书宋-简"/>
          <w:sz w:val="24"/>
          <w:szCs w:val="24"/>
        </w:rPr>
        <w:t>采购预算金额：56000元</w:t>
      </w:r>
    </w:p>
    <w:p>
      <w:pPr>
        <w:pStyle w:val="4"/>
        <w:ind w:firstLine="480" w:firstLineChars="200"/>
        <w:rPr>
          <w:rFonts w:ascii="方正书宋-简" w:hAnsi="方正书宋-简" w:eastAsia="方正书宋-简" w:cs="方正书宋-简"/>
          <w:sz w:val="24"/>
          <w:szCs w:val="24"/>
        </w:rPr>
      </w:pPr>
      <w:r>
        <w:rPr>
          <w:rFonts w:hint="eastAsia" w:ascii="方正书宋-简" w:hAnsi="方正书宋-简" w:eastAsia="方正书宋-简" w:cs="方正书宋-简"/>
          <w:sz w:val="24"/>
          <w:szCs w:val="24"/>
        </w:rPr>
        <w:t>采购最高限价金额：56000元</w:t>
      </w:r>
    </w:p>
    <w:p>
      <w:pPr>
        <w:pStyle w:val="4"/>
        <w:ind w:firstLine="480" w:firstLineChars="200"/>
        <w:rPr>
          <w:rFonts w:ascii="方正书宋-简" w:hAnsi="方正书宋-简" w:eastAsia="方正书宋-简" w:cs="方正书宋-简"/>
          <w:sz w:val="24"/>
          <w:szCs w:val="24"/>
        </w:rPr>
      </w:pPr>
      <w:r>
        <w:rPr>
          <w:rFonts w:hint="eastAsia" w:ascii="方正书宋-简" w:hAnsi="方正书宋-简" w:eastAsia="方正书宋-简" w:cs="方正书宋-简"/>
          <w:sz w:val="24"/>
          <w:szCs w:val="24"/>
        </w:rPr>
        <w:t>采购服务内容要求：</w:t>
      </w:r>
    </w:p>
    <w:tbl>
      <w:tblPr>
        <w:tblStyle w:val="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1150"/>
        <w:gridCol w:w="6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56" w:type="dxa"/>
            <w:noWrap/>
            <w:vAlign w:val="center"/>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序号</w:t>
            </w:r>
          </w:p>
        </w:tc>
        <w:tc>
          <w:tcPr>
            <w:tcW w:w="1150" w:type="dxa"/>
            <w:noWrap/>
            <w:vAlign w:val="center"/>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采购需求</w:t>
            </w:r>
          </w:p>
        </w:tc>
        <w:tc>
          <w:tcPr>
            <w:tcW w:w="6608" w:type="dxa"/>
            <w:noWrap/>
            <w:vAlign w:val="center"/>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详细参数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656" w:type="dxa"/>
            <w:noWrap/>
            <w:vAlign w:val="center"/>
          </w:tcPr>
          <w:p>
            <w:pPr>
              <w:widowControl/>
              <w:jc w:val="right"/>
              <w:rPr>
                <w:rFonts w:ascii="仿宋" w:hAnsi="仿宋" w:eastAsia="仿宋" w:cs="宋体"/>
                <w:color w:val="000000"/>
                <w:kern w:val="0"/>
                <w:sz w:val="22"/>
              </w:rPr>
            </w:pPr>
            <w:r>
              <w:rPr>
                <w:rFonts w:hint="eastAsia" w:ascii="仿宋" w:hAnsi="仿宋" w:eastAsia="仿宋" w:cs="宋体"/>
                <w:color w:val="000000"/>
                <w:kern w:val="0"/>
                <w:sz w:val="22"/>
              </w:rPr>
              <w:t>1</w:t>
            </w:r>
          </w:p>
        </w:tc>
        <w:tc>
          <w:tcPr>
            <w:tcW w:w="1150" w:type="dxa"/>
            <w:noWrap/>
            <w:vAlign w:val="center"/>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题库建设</w:t>
            </w:r>
          </w:p>
        </w:tc>
        <w:tc>
          <w:tcPr>
            <w:tcW w:w="6608" w:type="dxa"/>
            <w:vAlign w:val="center"/>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整体要求如下</w:t>
            </w:r>
          </w:p>
          <w:p>
            <w:pPr>
              <w:rPr>
                <w:rFonts w:ascii="仿宋" w:hAnsi="仿宋" w:eastAsia="仿宋" w:cs="宋体"/>
                <w:color w:val="000000"/>
                <w:kern w:val="0"/>
                <w:sz w:val="22"/>
              </w:rPr>
            </w:pPr>
            <w:r>
              <w:rPr>
                <w:rFonts w:hint="eastAsia" w:ascii="仿宋" w:hAnsi="仿宋" w:eastAsia="仿宋" w:cs="宋体"/>
                <w:color w:val="000000"/>
                <w:kern w:val="0"/>
                <w:sz w:val="22"/>
              </w:rPr>
              <w:t>1、本批次题库建设包含：“茶艺师（初级5级、中级4级、高级3级）、互联网营销师（直播销售员）（初级5级、中级4级、高级3级）2个工种，每个工种分为3个等级，共计6个等级的职业技能等级认定题库</w:t>
            </w:r>
            <w:r>
              <w:rPr>
                <w:rFonts w:ascii="仿宋" w:hAnsi="仿宋" w:eastAsia="仿宋" w:cs="宋体"/>
                <w:color w:val="000000"/>
                <w:kern w:val="0"/>
                <w:sz w:val="22"/>
              </w:rPr>
              <w:t>（工种）</w:t>
            </w:r>
            <w:r>
              <w:rPr>
                <w:rFonts w:hint="eastAsia" w:ascii="仿宋" w:hAnsi="仿宋" w:eastAsia="仿宋" w:cs="宋体"/>
                <w:color w:val="000000"/>
                <w:kern w:val="0"/>
                <w:sz w:val="22"/>
              </w:rPr>
              <w:t>建设。</w:t>
            </w:r>
          </w:p>
          <w:p>
            <w:pPr>
              <w:widowControl/>
              <w:jc w:val="left"/>
              <w:rPr>
                <w:rFonts w:ascii="仿宋" w:hAnsi="仿宋" w:eastAsia="仿宋" w:cs="宋体"/>
                <w:color w:val="000000"/>
                <w:kern w:val="0"/>
                <w:sz w:val="22"/>
              </w:rPr>
            </w:pP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2、按照人社部题库要求：每个工种每个级别的题库应提供：理论知识题库和操作技能题库，其中理论知识题库应包含：理论知识认定要素细目表，理论试题命题。操作技能题库应包含：操作考核内容表，操作考核要素细目表，操作考核试题</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理论知识认定要素细目表要求如下</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3、理论知识鉴定范围一级：名称与国家职业标准对应，一般分为基本要求和相关知识；代码分别用A  B表示；</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4、理论知识鉴定范围二级：名称与国家职业标准中职业道德 、基础知识和职业功能 中有关内容对应；代码按其在鉴定要素细目表中的自然排列顺序，分别用大写英文字母A B C ……表示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5、理论知识鉴定范围三级:一般与国家职业标准中的职业道德基本知识、职业守则、基础知识和工作内容 中有关内容相对应，或按知识单元确   定名称；代码按其在鉴定要素细目表   中的自然排列顺序，分别用大写英文   字母A B C ……表示；</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6、鉴定点代码按鉴定点在鉴定范围中的自然排列顺序，分别用数字001、002、 003…… 表示；</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7、层次属性：指一道理论知识试题所对 应的鉴定点；一般用鉴定点代码表示 (如，A—A—A—001)。</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8、专家可根据经验确定各鉴定点的重要 程度，并分别用X、Y、Z 表 示，X 为最重要的核心要素，一般为职业活 动必备的知识点；Y 为一般要素；Z 为辅助性要素。在鉴定 要素细目表中，重要程度的数量分布一般是 X占 85%以上，Y 不超过 10%，Z 不超过 5%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9、难度等级：由专家在试题编写时，对试题难度所作的难易程度等级的初步评定。一般分为易、较易、中等、较难、难五个等级，分别以 1、2、3、4、 5 表示。难度以中等(3)为宜，偏易(1) 或偏难(5)的试题尽量减少。</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10、每个职业（工种）每个等级知识点数量不少于 200 个。</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理论试题命题要求如下：</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11、按照每个职业（工种）认定点的核心内容命制试题：国家职业资格五级(初级)、四级(中级)、三级(高级)全部采用客观试题，五级(初级)、四级(中级) 采用单项选择题和判断题两种题型。三级(高级)采用单项选择题、多项选择题判断题。单项选择题(代码为B ) 多项选择题(代码为D )，判断题(代码为C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★12、初、中级一个鉴定点内题量一般不少于 6 道题(单项选择题不少于 4 道，判 断题不少于 2 道，高级一个鉴定点内题量一般不少于 7 道题(单项选择题 不少于 3 道，多项选择题不少于 2 道，判断题不少于 2 道。）初、中级不少于共 1200 道题，高级不少于共计 1400 道题。</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13、单项选择题：即一道试题有四个备选答案，其中只有一个是正确答案。其他三个选项都是对正确选项有一定干扰性的干项。多项选择题：即一道试题有五个备选答案，其中有两个或两个以上正确答案。其他选项 都是对正确选项有一定干扰性的干扰选项。</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14、单项选择题和多项选择题题干一 般采用空缺句，题中的空缺部分用 { .XZ} 表示，句尾一律用句号； 备选项号码一律用英文大写表示，并用 ( ) 圈起；答案直接用选项字母表示；</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15、判断题编写题干一般采用陈述句，标准答案用  × 、 √ 表示</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16、使用三稿九校工作法，即三次打印文稿，每次由三人流水作业进行校 对：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17、标点符号差错率 ≤ 10/1000 题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18、非关键文字差错率≤ 8/1000 题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19、文字差错率      ≤ 5/1000 题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20、统一标志差错率  ≤ 5/1000 题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21、参数差错率      ≤ 3/1000 题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22、图形、公式差错率≤ 1/1000 题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23、计算结果差错率  ≤ 2/1000 题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24、格式要求差错率  ≤ 1/1000 题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25、评分标准残缺率  ≤ 5/1000 题</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操作考核内容表要求如下</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26、对职业技能标准进行分析，结合对应的  技能要求、职业活动  建立测量 模型（模  块）编制技 能操作考核内容结构表。</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内容包括各级别鉴定范围(可由大到小，细分为若干级或层)和相应的鉴定要求(选考方式、鉴定比重、考核时间、考核形式等)。</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27、操作技能鉴定范围由大到小可逐级 细分，目前设计许可最多为 7 级(层)。</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28、选考方式一般分为必考项、任选一项、指定一项 。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29、鉴定比重根据国家职业标准或该鉴定范围在本职业本等级中的重要性确定。</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30、考试时间根据实际情况确定，总时间应符合国家职业标准。</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31、操作技能考核形式多样，命题时应按照操作技能命题的科学和可行性原则确定考核形式。</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操作考核要素细目表要求如下</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32、在内容结构表的基础上，编制技能操作考核要素细目表，特征参数标注正确。</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33、《操作技能考核内容结构表》与《操作技能鉴定要素细目表》的鉴定范围、鉴定点内容相一致，只需标注各层次代码、鉴定比重、重要程度及试题量等参数即可(标注方法与理论知识鉴定要素细目表相同)。</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34、技能考核认定点设置准确，覆盖职业技能标准对应的技能要求，认定点数量满足考核要求。</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35、按照国家职业标准的整体技能要求和 现实职业活动中要求水平，确定每个鉴定点的考核要求和统一的配分与评分标准。鉴定点的内容包括 1.鉴定点的名称：2.考核要求 3.配分与评分标准 4.准备通知单（考场，考生）5.其 他说明项。内容规范准确</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操作考核试题要求如下</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36、编制操作技能考核准备通知单（考场，考生）、操作技能试卷、配分与评分标准，内容规范准确</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37、操作技能试题按照对应的职业（工种）、等级与职 业技能标准的内容相对应。包括 ：准备要求；考核要求；配分与评分标准。配分与评分表项目设置正确，可操作性强。</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38、操作技能考核试卷每个职业（工种）每个等级原则上不少于5套，每套3-5道操作试题。</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39、使用三稿九校工作法，即三次打印文稿，每次由三人流水作业进行校对：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40、标点符号差错率 ≤ 10/1000 题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41、非关键文字差错率≤ 8/1000 题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42、文字差错率      ≤ 5/1000 题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43、统一标志差错率  ≤ 5/1000 题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44、参数差错率      ≤ 3/1000 题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45、图形、公式差错率≤ 1/1000 题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46、计算结果差错率  ≤ 2/1000 题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47、格式要求差错率  ≤ 1/1000 题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48、评分标准残缺率  ≤ 5/1000 题</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49、试题附图：最大不超过 100×160mm2。如用手工 绘图应使用炭素铅笔制作，并提供相应的原始图形；如用绘图软件做图，应提供绘图软件的名称、版本。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0" w:hRule="atLeast"/>
        </w:trPr>
        <w:tc>
          <w:tcPr>
            <w:tcW w:w="656" w:type="dxa"/>
            <w:noWrap/>
            <w:vAlign w:val="center"/>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w:t>
            </w:r>
          </w:p>
        </w:tc>
        <w:tc>
          <w:tcPr>
            <w:tcW w:w="1150" w:type="dxa"/>
            <w:noWrap/>
            <w:vAlign w:val="center"/>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题库在线练习平台</w:t>
            </w:r>
          </w:p>
        </w:tc>
        <w:tc>
          <w:tcPr>
            <w:tcW w:w="6608" w:type="dxa"/>
            <w:vAlign w:val="center"/>
          </w:tcPr>
          <w:p>
            <w:pPr>
              <w:widowControl/>
              <w:jc w:val="left"/>
              <w:rPr>
                <w:rFonts w:ascii="仿宋" w:hAnsi="仿宋" w:eastAsia="仿宋" w:cs="宋体"/>
                <w:b/>
                <w:bCs/>
                <w:color w:val="000000"/>
                <w:kern w:val="0"/>
                <w:sz w:val="22"/>
              </w:rPr>
            </w:pPr>
            <w:r>
              <w:rPr>
                <w:rFonts w:hint="eastAsia" w:ascii="仿宋" w:hAnsi="仿宋" w:eastAsia="仿宋" w:cs="宋体"/>
                <w:b/>
                <w:bCs/>
                <w:color w:val="000000"/>
                <w:kern w:val="0"/>
                <w:sz w:val="22"/>
              </w:rPr>
              <w:t>系统基本要求</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▲1. 为符合国家职业教育项目制教学需求，系统应为一种基于新型项目化教学的高等职业教育系统（提供对应功能证书复印件加盖投标人公章）</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▲2根据国家职业教育十一项重点建设任务要求：系统应具备职业教育学生学习过程性评价的功能（提供软件著作权证书并加盖投标人公章）</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3. 平台需采用SpringCloudAlibaba+Redis+MySQL+Spring Secirty，后端采用微服务架构。</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▲4</w:t>
            </w:r>
            <w:r>
              <w:rPr>
                <w:rFonts w:hint="eastAsia" w:ascii="仿宋" w:hAnsi="仿宋" w:eastAsia="仿宋" w:cs="宋体"/>
                <w:color w:val="000000"/>
                <w:kern w:val="0"/>
                <w:sz w:val="22"/>
                <w:lang w:val="en-US" w:eastAsia="zh-CN"/>
              </w:rPr>
              <w:t>.</w:t>
            </w:r>
            <w:r>
              <w:rPr>
                <w:rFonts w:hint="eastAsia" w:ascii="仿宋" w:hAnsi="仿宋" w:eastAsia="仿宋" w:cs="宋体"/>
                <w:color w:val="000000"/>
                <w:kern w:val="0"/>
                <w:sz w:val="22"/>
              </w:rPr>
              <w:t>系统应具备职业教育学生项目化课程分发的功能（提供软件著作权证书并加盖投标人公章）</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5.能够实现学习内容与职业标准对接的要求，完成职场对应岗位的角色、角色类型、角色卡的创建，并关联到对应的专业群。该专业群下的课程，将可以使用该岗位角色。（提供符合本条参数的第三方检测机构出具的带CMA或CNAS标识的检测报告）</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6.能够按照职业教育要求以真实生产项目、典型工作任务为载体，开展项目化、任务式学习。第一步：项目基本信息，完成项目名称、项目关联课程、等级、课时数、介绍基本信息的管理与维护；第二步：角色绑定：从给专业群创建的岗位角色中选择对应岗位角色为项目课程配置对应的岗位角色；第三步：任务创建：实现项目任务的管理与维护，可以按岗位角色完成不同的任务内容管理，也可以为各岗位角色完成通用的任务内容管理；第四步：剧情录入，实现对任务的剧情信息按理与维护，可增加多剧情；第五步：审核问卷：实现对任务完成后审核问卷的管理与维护。课程创建后，可将课程分配的对应的授课老师（提供符合本条参数的第三方检测机构出具的带CMA或CNAS标识的检测报告）</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▲7. 教师可以查看项目课程的相关信息及课程任务介绍、任务剧情等信息；教师可以完成班级学生分组的创建，创建小组名称，添加成员，为成员设置对应的岗位角色。教师针对课程任务，可以为任务进行“比武”课堂互动内容的管理；进行项目课程的启动实施。（提供符合本条参数的第三方检测机构出具的带CMA或CNAS标识的检测报告）</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▲8. 教师启动任务进入实施教学课堂，可以实现学生在线情况、小组任务启动情况等信息的监控及与学生进行消息交流。（提供符合本条参数的第三方检测机构出具的带CMA或CNAS标识的检测报告）</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▲9. 在任务学习过程中，可参与教师发起的签到、比武及消息交通等课堂互动活动。（提供符合本条参数的第三方检测机构出具的带CMA或CNAS标识的检测报告）</w:t>
            </w:r>
          </w:p>
          <w:p>
            <w:pPr>
              <w:widowControl/>
              <w:jc w:val="left"/>
              <w:rPr>
                <w:rFonts w:ascii="仿宋" w:hAnsi="仿宋" w:eastAsia="仿宋" w:cs="宋体"/>
                <w:b/>
                <w:bCs/>
                <w:color w:val="000000"/>
                <w:kern w:val="0"/>
                <w:sz w:val="22"/>
              </w:rPr>
            </w:pPr>
            <w:r>
              <w:rPr>
                <w:rFonts w:hint="eastAsia" w:ascii="仿宋" w:hAnsi="仿宋" w:eastAsia="仿宋" w:cs="宋体"/>
                <w:b/>
                <w:bCs/>
                <w:color w:val="000000"/>
                <w:kern w:val="0"/>
                <w:sz w:val="22"/>
              </w:rPr>
              <w:t>试卷中心模块</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 xml:space="preserve">10.试题库。能够实现试题的创建与管理。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11.试卷管理。能实现手动创建试卷和通过题库创建试卷、试卷预览、试卷内容展示、试卷编辑与发布功能。</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12.开始考试。能够实现对创建好的试卷分发到指定的班级、设置考试开始时间及考试时长。</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13.查看考试。考试时长结束后，教师可以查看当前试卷的详情，包含该班级所有学生参考状态、试卷各小题得分及总分、并能导出成绩。</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14.参考考试。当试卷开考时间开始，学生主动进入考试界面，完成试题作答，并提交试卷。</w:t>
            </w:r>
          </w:p>
          <w:p>
            <w:pPr>
              <w:widowControl/>
              <w:jc w:val="left"/>
              <w:rPr>
                <w:rFonts w:ascii="仿宋" w:hAnsi="仿宋" w:eastAsia="仿宋" w:cs="宋体"/>
                <w:color w:val="000000"/>
                <w:kern w:val="0"/>
                <w:sz w:val="22"/>
              </w:rPr>
            </w:pPr>
            <w:r>
              <w:rPr>
                <w:rFonts w:hint="eastAsia" w:ascii="仿宋" w:hAnsi="仿宋" w:eastAsia="仿宋" w:cs="宋体"/>
                <w:b/>
                <w:bCs/>
                <w:color w:val="000000"/>
                <w:kern w:val="0"/>
                <w:sz w:val="22"/>
              </w:rPr>
              <w:t xml:space="preserve">试卷管理模块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▲15.教师能进行试卷的创建、编辑、发布、删除、预览的操作。（提供符合本条参数的第三方检测机构出具的带CMA或CNAS标识的检测报告）</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16.能够自行创建新的考试试卷。</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17.能为对应的专业创建单选、多选、判断等类型的试卷库，供创建试卷的组卷使用。</w:t>
            </w:r>
          </w:p>
          <w:p>
            <w:pPr>
              <w:widowControl/>
              <w:jc w:val="left"/>
              <w:rPr>
                <w:rFonts w:ascii="仿宋" w:hAnsi="仿宋" w:eastAsia="仿宋" w:cs="宋体"/>
                <w:b/>
                <w:bCs/>
                <w:color w:val="000000"/>
                <w:kern w:val="0"/>
                <w:sz w:val="22"/>
              </w:rPr>
            </w:pPr>
            <w:r>
              <w:rPr>
                <w:rFonts w:hint="eastAsia" w:ascii="仿宋" w:hAnsi="仿宋" w:eastAsia="仿宋" w:cs="宋体"/>
                <w:b/>
                <w:bCs/>
                <w:color w:val="000000"/>
                <w:kern w:val="0"/>
                <w:sz w:val="22"/>
              </w:rPr>
              <w:t xml:space="preserve">成绩中心模块 </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18.老师能够查看学生成绩基本信息，并对不同班级学生成绩进行全量展示。能展示排名前十的综合能力最强个人、等级最高个人、综合能力最强小组。能够查看各项目完成情况、项目时长、项目等级。</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19.学生可以使用可视化图表，展示学生个人在各项目下任务的得分值高低。能按照小组和个人的方式分别展示任务总数，及未完成、已完成、已逾期的任务数、任务时长和任务量。</w:t>
            </w:r>
          </w:p>
          <w:p>
            <w:pPr>
              <w:widowControl/>
              <w:jc w:val="left"/>
            </w:pPr>
            <w:r>
              <w:rPr>
                <w:rFonts w:hint="eastAsia" w:ascii="仿宋" w:hAnsi="仿宋" w:eastAsia="仿宋" w:cs="宋体"/>
                <w:color w:val="000000"/>
                <w:kern w:val="0"/>
                <w:sz w:val="22"/>
              </w:rPr>
              <w:t>▲20.统计学生在线情况、操作情况、课中提问、参与比武的情况（提供符合本条参数的第三方检测机构出具的带CMA或CNAS标识的检测报告）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8" w:hRule="atLeast"/>
        </w:trPr>
        <w:tc>
          <w:tcPr>
            <w:tcW w:w="656" w:type="dxa"/>
            <w:noWrap/>
            <w:vAlign w:val="center"/>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3</w:t>
            </w:r>
          </w:p>
        </w:tc>
        <w:tc>
          <w:tcPr>
            <w:tcW w:w="1150" w:type="dxa"/>
            <w:noWrap/>
            <w:vAlign w:val="center"/>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人员要求</w:t>
            </w:r>
          </w:p>
        </w:tc>
        <w:tc>
          <w:tcPr>
            <w:tcW w:w="6608" w:type="dxa"/>
            <w:vAlign w:val="center"/>
          </w:tcPr>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w:t>
            </w:r>
            <w:r>
              <w:rPr>
                <w:rFonts w:hint="eastAsia" w:hAnsi="宋体" w:cs="宋体"/>
                <w:bCs/>
                <w:szCs w:val="21"/>
              </w:rPr>
              <w:t>1</w:t>
            </w:r>
            <w:r>
              <w:rPr>
                <w:rFonts w:ascii="仿宋" w:hAnsi="仿宋" w:eastAsia="仿宋" w:cs="宋体"/>
                <w:color w:val="000000"/>
                <w:kern w:val="0"/>
                <w:sz w:val="22"/>
              </w:rPr>
              <w:t>.</w:t>
            </w:r>
            <w:r>
              <w:rPr>
                <w:rFonts w:hint="eastAsia" w:ascii="仿宋" w:hAnsi="仿宋" w:eastAsia="仿宋" w:cs="宋体"/>
                <w:color w:val="000000"/>
                <w:kern w:val="0"/>
                <w:sz w:val="22"/>
              </w:rPr>
              <w:t>供应商拟投入本项目的专家团队成员具有高级或副教授职称。需提供对应人员身份证及专家职称证书复印件并加盖公章。</w:t>
            </w:r>
          </w:p>
          <w:p>
            <w:pPr>
              <w:widowControl/>
              <w:jc w:val="left"/>
              <w:rPr>
                <w:rFonts w:ascii="仿宋" w:hAnsi="仿宋" w:eastAsia="仿宋" w:cs="宋体"/>
                <w:color w:val="000000"/>
                <w:kern w:val="0"/>
                <w:sz w:val="22"/>
              </w:rPr>
            </w:pPr>
            <w:r>
              <w:rPr>
                <w:rFonts w:hint="eastAsia" w:ascii="仿宋" w:hAnsi="仿宋" w:eastAsia="仿宋" w:cs="宋体"/>
                <w:color w:val="000000"/>
                <w:kern w:val="0"/>
                <w:sz w:val="22"/>
              </w:rPr>
              <w:t>★2.供应商拟投入本项目的专家团队成员具有参于主编“十四五”国家规划教材专家。需提供对应人员身份证及相关证明材料复印件并加盖公章。</w:t>
            </w:r>
          </w:p>
          <w:p>
            <w:pPr>
              <w:widowControl/>
              <w:jc w:val="left"/>
              <w:rPr>
                <w:rFonts w:ascii="仿宋" w:hAnsi="仿宋" w:eastAsia="仿宋" w:cs="宋体"/>
                <w:b/>
                <w:bCs/>
                <w:color w:val="000000"/>
                <w:kern w:val="0"/>
                <w:sz w:val="22"/>
              </w:rPr>
            </w:pPr>
          </w:p>
        </w:tc>
      </w:tr>
    </w:tbl>
    <w:p>
      <w:pPr>
        <w:pStyle w:val="4"/>
        <w:ind w:left="420"/>
        <w:rPr>
          <w:rFonts w:ascii="方正黑体-简" w:hAnsi="方正黑体-简" w:eastAsia="方正黑体-简" w:cs="方正黑体-简"/>
          <w:sz w:val="24"/>
          <w:szCs w:val="24"/>
        </w:rPr>
      </w:pPr>
    </w:p>
    <w:p>
      <w:pPr>
        <w:pStyle w:val="4"/>
        <w:numPr>
          <w:ilvl w:val="0"/>
          <w:numId w:val="1"/>
        </w:numPr>
        <w:rPr>
          <w:rFonts w:ascii="方正黑体-简" w:hAnsi="方正黑体-简" w:eastAsia="方正黑体-简" w:cs="方正黑体-简"/>
          <w:sz w:val="24"/>
          <w:szCs w:val="24"/>
        </w:rPr>
      </w:pPr>
      <w:r>
        <w:rPr>
          <w:rFonts w:hint="eastAsia" w:ascii="方正黑体-简" w:hAnsi="方正黑体-简" w:eastAsia="方正黑体-简" w:cs="方正黑体-简"/>
          <w:sz w:val="24"/>
          <w:szCs w:val="24"/>
        </w:rPr>
        <w:t>商务要求</w:t>
      </w:r>
    </w:p>
    <w:tbl>
      <w:tblPr>
        <w:tblStyle w:val="11"/>
        <w:tblW w:w="85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60"/>
        <w:gridCol w:w="917"/>
        <w:gridCol w:w="2071"/>
        <w:gridCol w:w="47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8" w:hRule="atLeast"/>
          <w:jc w:val="center"/>
        </w:trPr>
        <w:tc>
          <w:tcPr>
            <w:tcW w:w="860" w:type="dxa"/>
            <w:vAlign w:val="center"/>
          </w:tcPr>
          <w:p>
            <w:pPr>
              <w:pStyle w:val="10"/>
              <w:spacing w:before="103" w:line="201" w:lineRule="auto"/>
              <w:jc w:val="center"/>
              <w:rPr>
                <w:rFonts w:ascii="方正书宋-简" w:hAnsi="方正书宋-简" w:eastAsia="方正书宋-简" w:cs="方正书宋-简"/>
              </w:rPr>
            </w:pPr>
            <w:r>
              <w:rPr>
                <w:rFonts w:hint="eastAsia" w:ascii="方正书宋-简" w:hAnsi="方正书宋-简" w:eastAsia="方正书宋-简" w:cs="方正书宋-简"/>
                <w:b/>
                <w:bCs/>
                <w:spacing w:val="-3"/>
              </w:rPr>
              <w:t>序号</w:t>
            </w:r>
          </w:p>
        </w:tc>
        <w:tc>
          <w:tcPr>
            <w:tcW w:w="917" w:type="dxa"/>
            <w:vAlign w:val="center"/>
          </w:tcPr>
          <w:p>
            <w:pPr>
              <w:pStyle w:val="10"/>
              <w:spacing w:before="184" w:line="310" w:lineRule="auto"/>
              <w:ind w:left="115" w:right="252"/>
              <w:jc w:val="center"/>
              <w:rPr>
                <w:rFonts w:ascii="方正书宋-简" w:hAnsi="方正书宋-简" w:eastAsia="方正书宋-简" w:cs="方正书宋-简"/>
              </w:rPr>
            </w:pPr>
            <w:r>
              <w:rPr>
                <w:rFonts w:hint="eastAsia" w:ascii="方正书宋-简" w:hAnsi="方正书宋-简" w:eastAsia="方正书宋-简" w:cs="方正书宋-简"/>
                <w:b/>
                <w:bCs/>
                <w:spacing w:val="-3"/>
              </w:rPr>
              <w:t>符号</w:t>
            </w:r>
            <w:r>
              <w:rPr>
                <w:rFonts w:hint="eastAsia" w:ascii="方正书宋-简" w:hAnsi="方正书宋-简" w:eastAsia="方正书宋-简" w:cs="方正书宋-简"/>
                <w:b/>
                <w:bCs/>
              </w:rPr>
              <w:t xml:space="preserve"> </w:t>
            </w:r>
            <w:r>
              <w:rPr>
                <w:rFonts w:hint="eastAsia" w:ascii="方正书宋-简" w:hAnsi="方正书宋-简" w:eastAsia="方正书宋-简" w:cs="方正书宋-简"/>
                <w:b/>
                <w:bCs/>
                <w:spacing w:val="-2"/>
              </w:rPr>
              <w:t>标识</w:t>
            </w:r>
          </w:p>
        </w:tc>
        <w:tc>
          <w:tcPr>
            <w:tcW w:w="2071" w:type="dxa"/>
            <w:vAlign w:val="center"/>
          </w:tcPr>
          <w:p>
            <w:pPr>
              <w:pStyle w:val="10"/>
              <w:spacing w:before="103" w:line="201" w:lineRule="auto"/>
              <w:jc w:val="center"/>
              <w:rPr>
                <w:rFonts w:ascii="方正书宋-简" w:hAnsi="方正书宋-简" w:eastAsia="方正书宋-简" w:cs="方正书宋-简"/>
              </w:rPr>
            </w:pPr>
            <w:r>
              <w:rPr>
                <w:rFonts w:hint="eastAsia" w:ascii="方正书宋-简" w:hAnsi="方正书宋-简" w:eastAsia="方正书宋-简" w:cs="方正书宋-简"/>
                <w:b/>
                <w:bCs/>
                <w:spacing w:val="-1"/>
              </w:rPr>
              <w:t>商务要求名称</w:t>
            </w:r>
          </w:p>
        </w:tc>
        <w:tc>
          <w:tcPr>
            <w:tcW w:w="4702" w:type="dxa"/>
            <w:vAlign w:val="center"/>
          </w:tcPr>
          <w:p>
            <w:pPr>
              <w:pStyle w:val="10"/>
              <w:spacing w:before="103" w:line="201" w:lineRule="auto"/>
              <w:jc w:val="center"/>
              <w:rPr>
                <w:rFonts w:ascii="方正书宋-简" w:hAnsi="方正书宋-简" w:eastAsia="方正书宋-简" w:cs="方正书宋-简"/>
              </w:rPr>
            </w:pPr>
            <w:r>
              <w:rPr>
                <w:rFonts w:hint="eastAsia" w:ascii="方正书宋-简" w:hAnsi="方正书宋-简" w:eastAsia="方正书宋-简" w:cs="方正书宋-简"/>
                <w:b/>
                <w:bCs/>
                <w:spacing w:val="-1"/>
              </w:rPr>
              <w:t>商务要求内容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860" w:type="dxa"/>
            <w:vAlign w:val="center"/>
          </w:tcPr>
          <w:p>
            <w:pPr>
              <w:pStyle w:val="10"/>
              <w:spacing w:before="217" w:line="166" w:lineRule="auto"/>
              <w:jc w:val="center"/>
              <w:rPr>
                <w:rFonts w:ascii="方正书宋-简" w:hAnsi="方正书宋-简" w:eastAsia="方正书宋-简" w:cs="方正书宋-简"/>
              </w:rPr>
            </w:pPr>
            <w:r>
              <w:rPr>
                <w:rFonts w:hint="eastAsia" w:ascii="方正书宋-简" w:hAnsi="方正书宋-简" w:eastAsia="方正书宋-简" w:cs="方正书宋-简"/>
              </w:rPr>
              <w:t>1</w:t>
            </w:r>
          </w:p>
        </w:tc>
        <w:tc>
          <w:tcPr>
            <w:tcW w:w="917" w:type="dxa"/>
            <w:vAlign w:val="center"/>
          </w:tcPr>
          <w:p>
            <w:pPr>
              <w:pStyle w:val="10"/>
              <w:spacing w:before="178" w:line="220" w:lineRule="auto"/>
              <w:ind w:left="141"/>
              <w:jc w:val="center"/>
              <w:rPr>
                <w:rFonts w:ascii="方正书宋-简" w:hAnsi="方正书宋-简" w:eastAsia="方正书宋-简" w:cs="方正书宋-简"/>
              </w:rPr>
            </w:pPr>
          </w:p>
        </w:tc>
        <w:tc>
          <w:tcPr>
            <w:tcW w:w="2071" w:type="dxa"/>
            <w:vAlign w:val="center"/>
          </w:tcPr>
          <w:p>
            <w:pPr>
              <w:pStyle w:val="10"/>
              <w:spacing w:before="178" w:line="200" w:lineRule="auto"/>
              <w:jc w:val="center"/>
              <w:rPr>
                <w:rFonts w:ascii="方正书宋-简" w:hAnsi="方正书宋-简" w:eastAsia="方正书宋-简" w:cs="方正书宋-简"/>
              </w:rPr>
            </w:pPr>
            <w:r>
              <w:rPr>
                <w:rFonts w:hint="eastAsia" w:ascii="方正书宋-简" w:hAnsi="方正书宋-简" w:eastAsia="方正书宋-简" w:cs="方正书宋-简"/>
                <w:spacing w:val="-3"/>
              </w:rPr>
              <w:t>服务期限</w:t>
            </w:r>
          </w:p>
        </w:tc>
        <w:tc>
          <w:tcPr>
            <w:tcW w:w="4702" w:type="dxa"/>
            <w:vAlign w:val="center"/>
          </w:tcPr>
          <w:p>
            <w:pPr>
              <w:pStyle w:val="10"/>
              <w:spacing w:before="177" w:line="201" w:lineRule="auto"/>
              <w:jc w:val="center"/>
              <w:rPr>
                <w:rFonts w:ascii="方正书宋-简" w:hAnsi="方正书宋-简" w:eastAsia="方正书宋-简" w:cs="方正书宋-简"/>
              </w:rPr>
            </w:pPr>
            <w:bookmarkStart w:id="0" w:name="_GoBack"/>
            <w:r>
              <w:rPr>
                <w:rFonts w:hint="eastAsia" w:ascii="方正书宋-简" w:hAnsi="方正书宋-简" w:eastAsia="方正书宋-简" w:cs="方正书宋-简"/>
                <w:spacing w:val="-9"/>
                <w:w w:val="100"/>
              </w:rPr>
              <w:t>自合同签订之日起 60日</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860" w:type="dxa"/>
            <w:vAlign w:val="center"/>
          </w:tcPr>
          <w:p>
            <w:pPr>
              <w:pStyle w:val="10"/>
              <w:spacing w:before="218" w:line="166" w:lineRule="auto"/>
              <w:jc w:val="center"/>
              <w:rPr>
                <w:rFonts w:ascii="方正书宋-简" w:hAnsi="方正书宋-简" w:eastAsia="方正书宋-简" w:cs="方正书宋-简"/>
              </w:rPr>
            </w:pPr>
            <w:r>
              <w:rPr>
                <w:rFonts w:hint="eastAsia" w:ascii="方正书宋-简" w:hAnsi="方正书宋-简" w:eastAsia="方正书宋-简" w:cs="方正书宋-简"/>
              </w:rPr>
              <w:t>2</w:t>
            </w:r>
          </w:p>
        </w:tc>
        <w:tc>
          <w:tcPr>
            <w:tcW w:w="917" w:type="dxa"/>
            <w:vAlign w:val="center"/>
          </w:tcPr>
          <w:p>
            <w:pPr>
              <w:pStyle w:val="10"/>
              <w:spacing w:before="178" w:line="220" w:lineRule="auto"/>
              <w:ind w:left="141"/>
              <w:jc w:val="center"/>
              <w:rPr>
                <w:rFonts w:ascii="方正书宋-简" w:hAnsi="方正书宋-简" w:eastAsia="方正书宋-简" w:cs="方正书宋-简"/>
              </w:rPr>
            </w:pPr>
          </w:p>
        </w:tc>
        <w:tc>
          <w:tcPr>
            <w:tcW w:w="2071" w:type="dxa"/>
            <w:vAlign w:val="center"/>
          </w:tcPr>
          <w:p>
            <w:pPr>
              <w:pStyle w:val="10"/>
              <w:spacing w:before="179" w:line="200" w:lineRule="auto"/>
              <w:jc w:val="center"/>
              <w:rPr>
                <w:rFonts w:ascii="方正书宋-简" w:hAnsi="方正书宋-简" w:eastAsia="方正书宋-简" w:cs="方正书宋-简"/>
              </w:rPr>
            </w:pPr>
            <w:r>
              <w:rPr>
                <w:rFonts w:hint="eastAsia" w:ascii="方正书宋-简" w:hAnsi="方正书宋-简" w:eastAsia="方正书宋-简" w:cs="方正书宋-简"/>
                <w:spacing w:val="-3"/>
              </w:rPr>
              <w:t>服务地点</w:t>
            </w:r>
          </w:p>
        </w:tc>
        <w:tc>
          <w:tcPr>
            <w:tcW w:w="4702" w:type="dxa"/>
            <w:vAlign w:val="center"/>
          </w:tcPr>
          <w:p>
            <w:pPr>
              <w:pStyle w:val="10"/>
              <w:spacing w:before="179" w:line="200" w:lineRule="auto"/>
              <w:jc w:val="center"/>
              <w:rPr>
                <w:rFonts w:ascii="方正书宋-简" w:hAnsi="方正书宋-简" w:eastAsia="方正书宋-简" w:cs="方正书宋-简"/>
              </w:rPr>
            </w:pPr>
            <w:r>
              <w:rPr>
                <w:rFonts w:hint="eastAsia" w:ascii="方正书宋-简" w:hAnsi="方正书宋-简" w:eastAsia="方正书宋-简" w:cs="方正书宋-简"/>
              </w:rPr>
              <w:t>西昌学院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jc w:val="center"/>
        </w:trPr>
        <w:tc>
          <w:tcPr>
            <w:tcW w:w="860" w:type="dxa"/>
            <w:vAlign w:val="center"/>
          </w:tcPr>
          <w:p>
            <w:pPr>
              <w:pStyle w:val="10"/>
              <w:spacing w:before="103" w:line="166" w:lineRule="auto"/>
              <w:jc w:val="center"/>
              <w:rPr>
                <w:rFonts w:ascii="方正书宋-简" w:hAnsi="方正书宋-简" w:eastAsia="方正书宋-简" w:cs="方正书宋-简"/>
              </w:rPr>
            </w:pPr>
            <w:r>
              <w:rPr>
                <w:rFonts w:hint="eastAsia" w:ascii="方正书宋-简" w:hAnsi="方正书宋-简" w:eastAsia="方正书宋-简" w:cs="方正书宋-简"/>
              </w:rPr>
              <w:t>3</w:t>
            </w:r>
          </w:p>
        </w:tc>
        <w:tc>
          <w:tcPr>
            <w:tcW w:w="917" w:type="dxa"/>
            <w:vAlign w:val="center"/>
          </w:tcPr>
          <w:p>
            <w:pPr>
              <w:jc w:val="center"/>
              <w:rPr>
                <w:rFonts w:ascii="方正书宋-简" w:hAnsi="方正书宋-简" w:eastAsia="方正书宋-简" w:cs="方正书宋-简"/>
                <w:sz w:val="24"/>
              </w:rPr>
            </w:pPr>
          </w:p>
        </w:tc>
        <w:tc>
          <w:tcPr>
            <w:tcW w:w="2071" w:type="dxa"/>
            <w:vAlign w:val="center"/>
          </w:tcPr>
          <w:p>
            <w:pPr>
              <w:pStyle w:val="10"/>
              <w:spacing w:before="103" w:line="360" w:lineRule="auto"/>
              <w:ind w:right="115"/>
              <w:jc w:val="center"/>
              <w:rPr>
                <w:rFonts w:ascii="方正书宋-简" w:hAnsi="方正书宋-简" w:eastAsia="方正书宋-简" w:cs="方正书宋-简"/>
                <w:lang w:eastAsia="zh-CN"/>
              </w:rPr>
            </w:pPr>
            <w:r>
              <w:rPr>
                <w:rFonts w:hint="eastAsia" w:ascii="方正书宋-简" w:hAnsi="方正书宋-简" w:eastAsia="方正书宋-简" w:cs="方正书宋-简"/>
                <w:spacing w:val="-4"/>
                <w:lang w:eastAsia="zh-CN"/>
              </w:rPr>
              <w:t>验收、交付标准和</w:t>
            </w:r>
            <w:r>
              <w:rPr>
                <w:rFonts w:hint="eastAsia" w:ascii="方正书宋-简" w:hAnsi="方正书宋-简" w:eastAsia="方正书宋-简" w:cs="方正书宋-简"/>
                <w:lang w:eastAsia="zh-CN"/>
              </w:rPr>
              <w:t xml:space="preserve"> </w:t>
            </w:r>
            <w:r>
              <w:rPr>
                <w:rFonts w:ascii="方正书宋-简" w:hAnsi="方正书宋-简" w:eastAsia="方正书宋-简" w:cs="方正书宋-简"/>
                <w:lang w:eastAsia="zh-CN"/>
              </w:rPr>
              <w:t>方式</w:t>
            </w:r>
          </w:p>
        </w:tc>
        <w:tc>
          <w:tcPr>
            <w:tcW w:w="4702" w:type="dxa"/>
            <w:vAlign w:val="center"/>
          </w:tcPr>
          <w:p>
            <w:pPr>
              <w:pStyle w:val="10"/>
              <w:spacing w:before="180" w:line="336" w:lineRule="auto"/>
              <w:ind w:left="120" w:right="116" w:hanging="3"/>
              <w:jc w:val="center"/>
              <w:rPr>
                <w:rFonts w:ascii="方正书宋-简" w:hAnsi="方正书宋-简" w:eastAsia="方正书宋-简" w:cs="方正书宋-简"/>
                <w:lang w:eastAsia="zh-CN"/>
              </w:rPr>
            </w:pPr>
            <w:r>
              <w:rPr>
                <w:rFonts w:hint="eastAsia" w:ascii="方正书宋-简" w:hAnsi="方正书宋-简" w:eastAsia="方正书宋-简" w:cs="方正书宋-简"/>
                <w:spacing w:val="-6"/>
                <w:lang w:eastAsia="zh-CN"/>
              </w:rPr>
              <w:t>题库建设试题按照最新版《国家职业技能标</w:t>
            </w:r>
            <w:r>
              <w:rPr>
                <w:rFonts w:hint="eastAsia" w:ascii="方正书宋-简" w:hAnsi="方正书宋-简" w:eastAsia="方正书宋-简" w:cs="方正书宋-简"/>
                <w:spacing w:val="10"/>
                <w:lang w:eastAsia="zh-CN"/>
              </w:rPr>
              <w:t xml:space="preserve"> </w:t>
            </w:r>
            <w:r>
              <w:rPr>
                <w:rFonts w:hint="eastAsia" w:ascii="方正书宋-简" w:hAnsi="方正书宋-简" w:eastAsia="方正书宋-简" w:cs="方正书宋-简"/>
                <w:spacing w:val="-6"/>
                <w:lang w:eastAsia="zh-CN"/>
              </w:rPr>
              <w:t>准》和《四川省技能人才评价机构职业技能</w:t>
            </w:r>
            <w:r>
              <w:rPr>
                <w:rFonts w:hint="eastAsia" w:ascii="方正书宋-简" w:hAnsi="方正书宋-简" w:eastAsia="方正书宋-简" w:cs="方正书宋-简"/>
                <w:spacing w:val="7"/>
                <w:lang w:eastAsia="zh-CN"/>
              </w:rPr>
              <w:t xml:space="preserve"> </w:t>
            </w:r>
            <w:r>
              <w:rPr>
                <w:rFonts w:hint="eastAsia" w:ascii="方正书宋-简" w:hAnsi="方正书宋-简" w:eastAsia="方正书宋-简" w:cs="方正书宋-简"/>
                <w:spacing w:val="-6"/>
                <w:lang w:eastAsia="zh-CN"/>
              </w:rPr>
              <w:t>等级认定工作指导手册》编制，并</w:t>
            </w:r>
            <w:r>
              <w:rPr>
                <w:rFonts w:hint="eastAsia" w:ascii="方正书宋-简" w:hAnsi="方正书宋-简" w:eastAsia="方正书宋-简" w:cs="方正书宋-简"/>
                <w:spacing w:val="-1"/>
                <w:lang w:eastAsia="zh-CN"/>
              </w:rPr>
              <w:t>验收合格。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jc w:val="center"/>
        </w:trPr>
        <w:tc>
          <w:tcPr>
            <w:tcW w:w="860" w:type="dxa"/>
            <w:vAlign w:val="center"/>
          </w:tcPr>
          <w:p>
            <w:pPr>
              <w:pStyle w:val="10"/>
              <w:spacing w:before="225" w:line="166" w:lineRule="auto"/>
              <w:jc w:val="center"/>
              <w:rPr>
                <w:rFonts w:ascii="方正书宋-简" w:hAnsi="方正书宋-简" w:eastAsia="方正书宋-简" w:cs="方正书宋-简"/>
              </w:rPr>
            </w:pPr>
            <w:r>
              <w:rPr>
                <w:rFonts w:hint="eastAsia" w:ascii="方正书宋-简" w:hAnsi="方正书宋-简" w:eastAsia="方正书宋-简" w:cs="方正书宋-简"/>
              </w:rPr>
              <w:t>4</w:t>
            </w:r>
          </w:p>
        </w:tc>
        <w:tc>
          <w:tcPr>
            <w:tcW w:w="917" w:type="dxa"/>
            <w:vAlign w:val="center"/>
          </w:tcPr>
          <w:p>
            <w:pPr>
              <w:jc w:val="center"/>
              <w:rPr>
                <w:rFonts w:ascii="方正书宋-简" w:hAnsi="方正书宋-简" w:eastAsia="方正书宋-简" w:cs="方正书宋-简"/>
                <w:sz w:val="24"/>
              </w:rPr>
            </w:pPr>
          </w:p>
        </w:tc>
        <w:tc>
          <w:tcPr>
            <w:tcW w:w="2071" w:type="dxa"/>
            <w:vAlign w:val="center"/>
          </w:tcPr>
          <w:p>
            <w:pPr>
              <w:pStyle w:val="10"/>
              <w:spacing w:before="185" w:line="201" w:lineRule="auto"/>
              <w:jc w:val="center"/>
              <w:rPr>
                <w:rFonts w:ascii="方正书宋-简" w:hAnsi="方正书宋-简" w:eastAsia="方正书宋-简" w:cs="方正书宋-简"/>
              </w:rPr>
            </w:pPr>
            <w:r>
              <w:rPr>
                <w:rFonts w:hint="eastAsia" w:ascii="方正书宋-简" w:hAnsi="方正书宋-简" w:eastAsia="方正书宋-简" w:cs="方正书宋-简"/>
                <w:spacing w:val="-2"/>
              </w:rPr>
              <w:t>支付方式</w:t>
            </w:r>
          </w:p>
        </w:tc>
        <w:tc>
          <w:tcPr>
            <w:tcW w:w="4702" w:type="dxa"/>
            <w:vAlign w:val="center"/>
          </w:tcPr>
          <w:p>
            <w:pPr>
              <w:pStyle w:val="10"/>
              <w:spacing w:before="186" w:line="201" w:lineRule="auto"/>
              <w:ind w:left="119"/>
              <w:jc w:val="center"/>
              <w:rPr>
                <w:rFonts w:ascii="方正书宋-简" w:hAnsi="方正书宋-简" w:eastAsia="方正书宋-简" w:cs="方正书宋-简"/>
              </w:rPr>
            </w:pPr>
            <w:r>
              <w:rPr>
                <w:rFonts w:hint="eastAsia" w:ascii="方正书宋-简" w:hAnsi="方正书宋-简" w:eastAsia="方正书宋-简" w:cs="方正书宋-简"/>
                <w:spacing w:val="-2"/>
              </w:rPr>
              <w:t>一次付清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jc w:val="center"/>
        </w:trPr>
        <w:tc>
          <w:tcPr>
            <w:tcW w:w="860" w:type="dxa"/>
            <w:vAlign w:val="center"/>
          </w:tcPr>
          <w:p>
            <w:pPr>
              <w:pStyle w:val="10"/>
              <w:spacing w:before="103" w:line="163" w:lineRule="auto"/>
              <w:jc w:val="center"/>
              <w:rPr>
                <w:rFonts w:ascii="方正书宋-简" w:hAnsi="方正书宋-简" w:eastAsia="方正书宋-简" w:cs="方正书宋-简"/>
              </w:rPr>
            </w:pPr>
            <w:r>
              <w:rPr>
                <w:rFonts w:hint="eastAsia" w:ascii="方正书宋-简" w:hAnsi="方正书宋-简" w:eastAsia="方正书宋-简" w:cs="方正书宋-简"/>
              </w:rPr>
              <w:t>5</w:t>
            </w:r>
          </w:p>
        </w:tc>
        <w:tc>
          <w:tcPr>
            <w:tcW w:w="917" w:type="dxa"/>
            <w:vAlign w:val="center"/>
          </w:tcPr>
          <w:p>
            <w:pPr>
              <w:jc w:val="center"/>
              <w:rPr>
                <w:rFonts w:ascii="方正书宋-简" w:hAnsi="方正书宋-简" w:eastAsia="方正书宋-简" w:cs="方正书宋-简"/>
                <w:sz w:val="24"/>
              </w:rPr>
            </w:pPr>
          </w:p>
        </w:tc>
        <w:tc>
          <w:tcPr>
            <w:tcW w:w="2071" w:type="dxa"/>
            <w:vAlign w:val="center"/>
          </w:tcPr>
          <w:p>
            <w:pPr>
              <w:pStyle w:val="10"/>
              <w:spacing w:before="103" w:line="201" w:lineRule="auto"/>
              <w:jc w:val="center"/>
              <w:rPr>
                <w:rFonts w:ascii="方正书宋-简" w:hAnsi="方正书宋-简" w:eastAsia="方正书宋-简" w:cs="方正书宋-简"/>
                <w:spacing w:val="-2"/>
              </w:rPr>
            </w:pPr>
            <w:r>
              <w:rPr>
                <w:rFonts w:hint="eastAsia" w:ascii="方正书宋-简" w:hAnsi="方正书宋-简" w:eastAsia="方正书宋-简" w:cs="方正书宋-简"/>
                <w:spacing w:val="-2"/>
              </w:rPr>
              <w:t>支付约定</w:t>
            </w:r>
          </w:p>
        </w:tc>
        <w:tc>
          <w:tcPr>
            <w:tcW w:w="4702" w:type="dxa"/>
            <w:vAlign w:val="center"/>
          </w:tcPr>
          <w:p>
            <w:pPr>
              <w:pStyle w:val="10"/>
              <w:spacing w:before="181" w:line="311" w:lineRule="auto"/>
              <w:ind w:left="116" w:right="137" w:firstLine="14"/>
              <w:jc w:val="left"/>
              <w:rPr>
                <w:rFonts w:ascii="方正书宋-简" w:hAnsi="方正书宋-简" w:eastAsia="方正书宋-简" w:cs="方正书宋-简"/>
                <w:spacing w:val="-2"/>
                <w:lang w:eastAsia="zh-CN"/>
              </w:rPr>
            </w:pPr>
            <w:r>
              <w:rPr>
                <w:rFonts w:hint="eastAsia" w:ascii="方正书宋-简" w:hAnsi="方正书宋-简" w:eastAsia="方正书宋-简" w:cs="方正书宋-简"/>
                <w:spacing w:val="-5"/>
                <w:lang w:eastAsia="zh-CN"/>
              </w:rPr>
              <w:t>1、验收合格后一次性付清</w:t>
            </w:r>
            <w:r>
              <w:rPr>
                <w:rFonts w:hint="eastAsia" w:ascii="方正书宋-简" w:hAnsi="方正书宋-简" w:eastAsia="方正书宋-简" w:cs="方正书宋-简"/>
                <w:spacing w:val="-16"/>
                <w:lang w:eastAsia="zh-CN"/>
              </w:rPr>
              <w:t xml:space="preserve"> </w:t>
            </w:r>
            <w:r>
              <w:rPr>
                <w:rFonts w:hint="eastAsia" w:ascii="方正书宋-简" w:hAnsi="方正书宋-简" w:eastAsia="方正书宋-简" w:cs="方正书宋-简"/>
                <w:spacing w:val="-5"/>
                <w:lang w:eastAsia="zh-CN"/>
              </w:rPr>
              <w:t>，达到付款条件</w:t>
            </w:r>
            <w:r>
              <w:rPr>
                <w:rFonts w:hint="eastAsia" w:ascii="方正书宋-简" w:hAnsi="方正书宋-简" w:eastAsia="方正书宋-简" w:cs="方正书宋-简"/>
                <w:lang w:eastAsia="zh-CN"/>
              </w:rPr>
              <w:t xml:space="preserve"> </w:t>
            </w:r>
            <w:r>
              <w:rPr>
                <w:rFonts w:hint="eastAsia" w:ascii="方正书宋-简" w:hAnsi="方正书宋-简" w:eastAsia="方正书宋-简" w:cs="方正书宋-简"/>
                <w:spacing w:val="-12"/>
                <w:lang w:eastAsia="zh-CN"/>
              </w:rPr>
              <w:t>起 14日内</w:t>
            </w:r>
            <w:r>
              <w:rPr>
                <w:rFonts w:hint="eastAsia" w:ascii="方正书宋-简" w:hAnsi="方正书宋-简" w:eastAsia="方正书宋-简" w:cs="方正书宋-简"/>
                <w:spacing w:val="-29"/>
                <w:lang w:eastAsia="zh-CN"/>
              </w:rPr>
              <w:t xml:space="preserve"> </w:t>
            </w:r>
            <w:r>
              <w:rPr>
                <w:rFonts w:hint="eastAsia" w:ascii="方正书宋-简" w:hAnsi="方正书宋-简" w:eastAsia="方正书宋-简" w:cs="方正书宋-简"/>
                <w:spacing w:val="-12"/>
                <w:lang w:eastAsia="zh-CN"/>
              </w:rPr>
              <w:t>，支付合同总金额的 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jc w:val="center"/>
        </w:trPr>
        <w:tc>
          <w:tcPr>
            <w:tcW w:w="860" w:type="dxa"/>
            <w:vAlign w:val="center"/>
          </w:tcPr>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jc w:val="center"/>
              <w:rPr>
                <w:rFonts w:ascii="方正书宋-简" w:hAnsi="方正书宋-简" w:eastAsia="方正书宋-简" w:cs="方正书宋-简"/>
                <w:sz w:val="24"/>
              </w:rPr>
            </w:pPr>
          </w:p>
          <w:p>
            <w:pPr>
              <w:spacing w:line="241" w:lineRule="auto"/>
              <w:jc w:val="center"/>
              <w:rPr>
                <w:rFonts w:ascii="方正书宋-简" w:hAnsi="方正书宋-简" w:eastAsia="方正书宋-简" w:cs="方正书宋-简"/>
                <w:sz w:val="24"/>
              </w:rPr>
            </w:pPr>
          </w:p>
          <w:p>
            <w:pPr>
              <w:spacing w:line="241" w:lineRule="auto"/>
              <w:jc w:val="center"/>
              <w:rPr>
                <w:rFonts w:ascii="方正书宋-简" w:hAnsi="方正书宋-简" w:eastAsia="方正书宋-简" w:cs="方正书宋-简"/>
                <w:sz w:val="24"/>
              </w:rPr>
            </w:pPr>
          </w:p>
          <w:p>
            <w:pPr>
              <w:pStyle w:val="10"/>
              <w:spacing w:before="103" w:line="166" w:lineRule="auto"/>
              <w:ind w:left="126"/>
              <w:jc w:val="center"/>
              <w:rPr>
                <w:rFonts w:ascii="方正书宋-简" w:hAnsi="方正书宋-简" w:eastAsia="方正书宋-简" w:cs="方正书宋-简"/>
              </w:rPr>
            </w:pPr>
            <w:r>
              <w:rPr>
                <w:rFonts w:hint="eastAsia" w:ascii="方正书宋-简" w:hAnsi="方正书宋-简" w:eastAsia="方正书宋-简" w:cs="方正书宋-简"/>
              </w:rPr>
              <w:t>6</w:t>
            </w:r>
          </w:p>
        </w:tc>
        <w:tc>
          <w:tcPr>
            <w:tcW w:w="917" w:type="dxa"/>
            <w:vAlign w:val="center"/>
          </w:tcPr>
          <w:p>
            <w:pPr>
              <w:jc w:val="center"/>
              <w:rPr>
                <w:rFonts w:ascii="方正书宋-简" w:hAnsi="方正书宋-简" w:eastAsia="方正书宋-简" w:cs="方正书宋-简"/>
                <w:sz w:val="24"/>
              </w:rPr>
            </w:pPr>
          </w:p>
        </w:tc>
        <w:tc>
          <w:tcPr>
            <w:tcW w:w="2071" w:type="dxa"/>
            <w:vAlign w:val="center"/>
          </w:tcPr>
          <w:p>
            <w:pPr>
              <w:spacing w:line="245" w:lineRule="auto"/>
              <w:jc w:val="center"/>
              <w:rPr>
                <w:rFonts w:ascii="方正书宋-简" w:hAnsi="方正书宋-简" w:eastAsia="方正书宋-简" w:cs="方正书宋-简"/>
                <w:sz w:val="24"/>
              </w:rPr>
            </w:pPr>
          </w:p>
          <w:p>
            <w:pPr>
              <w:spacing w:line="245" w:lineRule="auto"/>
              <w:jc w:val="center"/>
              <w:rPr>
                <w:rFonts w:ascii="方正书宋-简" w:hAnsi="方正书宋-简" w:eastAsia="方正书宋-简" w:cs="方正书宋-简"/>
                <w:sz w:val="24"/>
              </w:rPr>
            </w:pPr>
          </w:p>
          <w:p>
            <w:pPr>
              <w:spacing w:line="245" w:lineRule="auto"/>
              <w:jc w:val="center"/>
              <w:rPr>
                <w:rFonts w:ascii="方正书宋-简" w:hAnsi="方正书宋-简" w:eastAsia="方正书宋-简" w:cs="方正书宋-简"/>
                <w:sz w:val="24"/>
              </w:rPr>
            </w:pPr>
          </w:p>
          <w:p>
            <w:pPr>
              <w:spacing w:line="246" w:lineRule="auto"/>
              <w:jc w:val="center"/>
              <w:rPr>
                <w:rFonts w:ascii="方正书宋-简" w:hAnsi="方正书宋-简" w:eastAsia="方正书宋-简" w:cs="方正书宋-简"/>
                <w:sz w:val="24"/>
              </w:rPr>
            </w:pPr>
          </w:p>
          <w:p>
            <w:pPr>
              <w:spacing w:line="246" w:lineRule="auto"/>
              <w:jc w:val="center"/>
              <w:rPr>
                <w:rFonts w:ascii="方正书宋-简" w:hAnsi="方正书宋-简" w:eastAsia="方正书宋-简" w:cs="方正书宋-简"/>
                <w:sz w:val="24"/>
              </w:rPr>
            </w:pPr>
          </w:p>
          <w:p>
            <w:pPr>
              <w:spacing w:line="246" w:lineRule="auto"/>
              <w:jc w:val="center"/>
              <w:rPr>
                <w:rFonts w:ascii="方正书宋-简" w:hAnsi="方正书宋-简" w:eastAsia="方正书宋-简" w:cs="方正书宋-简"/>
                <w:sz w:val="24"/>
              </w:rPr>
            </w:pPr>
          </w:p>
          <w:p>
            <w:pPr>
              <w:spacing w:line="246" w:lineRule="auto"/>
              <w:jc w:val="center"/>
              <w:rPr>
                <w:rFonts w:ascii="方正书宋-简" w:hAnsi="方正书宋-简" w:eastAsia="方正书宋-简" w:cs="方正书宋-简"/>
                <w:sz w:val="24"/>
              </w:rPr>
            </w:pPr>
          </w:p>
          <w:p>
            <w:pPr>
              <w:spacing w:line="246" w:lineRule="auto"/>
              <w:jc w:val="center"/>
              <w:rPr>
                <w:rFonts w:ascii="方正书宋-简" w:hAnsi="方正书宋-简" w:eastAsia="方正书宋-简" w:cs="方正书宋-简"/>
                <w:sz w:val="24"/>
              </w:rPr>
            </w:pPr>
          </w:p>
          <w:p>
            <w:pPr>
              <w:spacing w:line="246" w:lineRule="auto"/>
              <w:jc w:val="center"/>
              <w:rPr>
                <w:rFonts w:ascii="方正书宋-简" w:hAnsi="方正书宋-简" w:eastAsia="方正书宋-简" w:cs="方正书宋-简"/>
                <w:sz w:val="24"/>
              </w:rPr>
            </w:pPr>
          </w:p>
          <w:p>
            <w:pPr>
              <w:spacing w:line="246" w:lineRule="auto"/>
              <w:jc w:val="center"/>
              <w:rPr>
                <w:rFonts w:ascii="方正书宋-简" w:hAnsi="方正书宋-简" w:eastAsia="方正书宋-简" w:cs="方正书宋-简"/>
                <w:sz w:val="24"/>
              </w:rPr>
            </w:pPr>
          </w:p>
          <w:p>
            <w:pPr>
              <w:spacing w:line="246" w:lineRule="auto"/>
              <w:jc w:val="center"/>
              <w:rPr>
                <w:rFonts w:ascii="方正书宋-简" w:hAnsi="方正书宋-简" w:eastAsia="方正书宋-简" w:cs="方正书宋-简"/>
                <w:sz w:val="24"/>
              </w:rPr>
            </w:pPr>
          </w:p>
          <w:p>
            <w:pPr>
              <w:spacing w:line="246" w:lineRule="auto"/>
              <w:jc w:val="center"/>
              <w:rPr>
                <w:rFonts w:ascii="方正书宋-简" w:hAnsi="方正书宋-简" w:eastAsia="方正书宋-简" w:cs="方正书宋-简"/>
                <w:sz w:val="24"/>
              </w:rPr>
            </w:pPr>
          </w:p>
          <w:p>
            <w:pPr>
              <w:spacing w:line="246" w:lineRule="auto"/>
              <w:jc w:val="center"/>
              <w:rPr>
                <w:rFonts w:ascii="方正书宋-简" w:hAnsi="方正书宋-简" w:eastAsia="方正书宋-简" w:cs="方正书宋-简"/>
                <w:sz w:val="24"/>
              </w:rPr>
            </w:pPr>
          </w:p>
          <w:p>
            <w:pPr>
              <w:spacing w:line="246" w:lineRule="auto"/>
              <w:jc w:val="center"/>
              <w:rPr>
                <w:rFonts w:ascii="方正书宋-简" w:hAnsi="方正书宋-简" w:eastAsia="方正书宋-简" w:cs="方正书宋-简"/>
                <w:sz w:val="24"/>
              </w:rPr>
            </w:pPr>
          </w:p>
          <w:p>
            <w:pPr>
              <w:spacing w:line="246" w:lineRule="auto"/>
              <w:jc w:val="center"/>
              <w:rPr>
                <w:rFonts w:ascii="方正书宋-简" w:hAnsi="方正书宋-简" w:eastAsia="方正书宋-简" w:cs="方正书宋-简"/>
                <w:sz w:val="24"/>
              </w:rPr>
            </w:pPr>
          </w:p>
          <w:p>
            <w:pPr>
              <w:spacing w:line="246" w:lineRule="auto"/>
              <w:jc w:val="center"/>
              <w:rPr>
                <w:rFonts w:ascii="方正书宋-简" w:hAnsi="方正书宋-简" w:eastAsia="方正书宋-简" w:cs="方正书宋-简"/>
                <w:sz w:val="24"/>
              </w:rPr>
            </w:pPr>
          </w:p>
          <w:p>
            <w:pPr>
              <w:spacing w:line="246" w:lineRule="auto"/>
              <w:jc w:val="center"/>
              <w:rPr>
                <w:rFonts w:ascii="方正书宋-简" w:hAnsi="方正书宋-简" w:eastAsia="方正书宋-简" w:cs="方正书宋-简"/>
                <w:sz w:val="24"/>
              </w:rPr>
            </w:pPr>
          </w:p>
          <w:p>
            <w:pPr>
              <w:spacing w:line="246" w:lineRule="auto"/>
              <w:jc w:val="center"/>
              <w:rPr>
                <w:rFonts w:ascii="方正书宋-简" w:hAnsi="方正书宋-简" w:eastAsia="方正书宋-简" w:cs="方正书宋-简"/>
                <w:sz w:val="24"/>
              </w:rPr>
            </w:pPr>
          </w:p>
          <w:p>
            <w:pPr>
              <w:spacing w:line="246" w:lineRule="auto"/>
              <w:jc w:val="center"/>
              <w:rPr>
                <w:rFonts w:ascii="方正书宋-简" w:hAnsi="方正书宋-简" w:eastAsia="方正书宋-简" w:cs="方正书宋-简"/>
                <w:sz w:val="24"/>
              </w:rPr>
            </w:pPr>
          </w:p>
          <w:p>
            <w:pPr>
              <w:spacing w:line="246" w:lineRule="auto"/>
              <w:jc w:val="center"/>
              <w:rPr>
                <w:rFonts w:ascii="方正书宋-简" w:hAnsi="方正书宋-简" w:eastAsia="方正书宋-简" w:cs="方正书宋-简"/>
                <w:sz w:val="24"/>
              </w:rPr>
            </w:pPr>
          </w:p>
          <w:p>
            <w:pPr>
              <w:spacing w:line="246" w:lineRule="auto"/>
              <w:jc w:val="center"/>
              <w:rPr>
                <w:rFonts w:ascii="方正书宋-简" w:hAnsi="方正书宋-简" w:eastAsia="方正书宋-简" w:cs="方正书宋-简"/>
                <w:sz w:val="24"/>
              </w:rPr>
            </w:pPr>
          </w:p>
          <w:p>
            <w:pPr>
              <w:spacing w:line="246" w:lineRule="auto"/>
              <w:jc w:val="center"/>
              <w:rPr>
                <w:rFonts w:ascii="方正书宋-简" w:hAnsi="方正书宋-简" w:eastAsia="方正书宋-简" w:cs="方正书宋-简"/>
                <w:sz w:val="24"/>
              </w:rPr>
            </w:pPr>
          </w:p>
          <w:p>
            <w:pPr>
              <w:spacing w:line="246" w:lineRule="auto"/>
              <w:jc w:val="center"/>
              <w:rPr>
                <w:rFonts w:ascii="方正书宋-简" w:hAnsi="方正书宋-简" w:eastAsia="方正书宋-简" w:cs="方正书宋-简"/>
                <w:sz w:val="24"/>
              </w:rPr>
            </w:pPr>
          </w:p>
          <w:p>
            <w:pPr>
              <w:pStyle w:val="10"/>
              <w:spacing w:before="103" w:line="360" w:lineRule="auto"/>
              <w:ind w:left="117" w:right="332"/>
              <w:jc w:val="center"/>
              <w:rPr>
                <w:rFonts w:ascii="方正书宋-简" w:hAnsi="方正书宋-简" w:eastAsia="方正书宋-简" w:cs="方正书宋-简"/>
                <w:lang w:eastAsia="zh-CN"/>
              </w:rPr>
            </w:pPr>
            <w:r>
              <w:rPr>
                <w:rFonts w:hint="eastAsia" w:ascii="方正书宋-简" w:hAnsi="方正书宋-简" w:eastAsia="方正书宋-简" w:cs="方正书宋-简"/>
                <w:spacing w:val="-1"/>
                <w:lang w:eastAsia="zh-CN"/>
              </w:rPr>
              <w:t>违约责任与解决</w:t>
            </w:r>
            <w:r>
              <w:rPr>
                <w:rFonts w:hint="eastAsia" w:ascii="方正书宋-简" w:hAnsi="方正书宋-简" w:eastAsia="方正书宋-简" w:cs="方正书宋-简"/>
                <w:lang w:eastAsia="zh-CN"/>
              </w:rPr>
              <w:t xml:space="preserve"> </w:t>
            </w:r>
            <w:r>
              <w:rPr>
                <w:rFonts w:hint="eastAsia" w:ascii="方正书宋-简" w:hAnsi="方正书宋-简" w:eastAsia="方正书宋-简" w:cs="方正书宋-简"/>
                <w:spacing w:val="-2"/>
                <w:lang w:eastAsia="zh-CN"/>
              </w:rPr>
              <w:t>争议的方法</w:t>
            </w:r>
          </w:p>
        </w:tc>
        <w:tc>
          <w:tcPr>
            <w:tcW w:w="4702" w:type="dxa"/>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42" w:leftChars="20" w:right="42" w:rightChars="20" w:firstLine="0"/>
              <w:jc w:val="both"/>
              <w:textAlignment w:val="auto"/>
              <w:rPr>
                <w:rFonts w:hint="eastAsia" w:ascii="方正书宋-简" w:hAnsi="方正书宋-简" w:eastAsia="方正书宋-简" w:cs="方正书宋-简"/>
                <w:spacing w:val="-1"/>
                <w:lang w:eastAsia="zh-CN"/>
              </w:rPr>
            </w:pPr>
            <w:r>
              <w:rPr>
                <w:rFonts w:hint="eastAsia" w:ascii="方正书宋-简" w:hAnsi="方正书宋-简" w:eastAsia="方正书宋-简" w:cs="方正书宋-简"/>
                <w:spacing w:val="-1"/>
                <w:lang w:eastAsia="zh-CN"/>
              </w:rPr>
              <w:t>采购人违约责任：</w:t>
            </w:r>
          </w:p>
          <w:p>
            <w:pPr>
              <w:pStyle w:val="10"/>
              <w:keepNext w:val="0"/>
              <w:keepLines w:val="0"/>
              <w:pageBreakBefore w:val="0"/>
              <w:widowControl w:val="0"/>
              <w:kinsoku/>
              <w:wordWrap/>
              <w:overflowPunct/>
              <w:topLinePunct w:val="0"/>
              <w:autoSpaceDE/>
              <w:autoSpaceDN/>
              <w:bidi w:val="0"/>
              <w:adjustRightInd/>
              <w:snapToGrid/>
              <w:spacing w:line="240" w:lineRule="auto"/>
              <w:ind w:left="42" w:leftChars="20" w:right="42" w:rightChars="20" w:firstLine="0"/>
              <w:jc w:val="both"/>
              <w:textAlignment w:val="auto"/>
              <w:rPr>
                <w:rFonts w:ascii="方正书宋-简" w:hAnsi="方正书宋-简" w:eastAsia="方正书宋-简" w:cs="方正书宋-简"/>
                <w:spacing w:val="-1"/>
                <w:lang w:eastAsia="zh-CN"/>
              </w:rPr>
            </w:pPr>
            <w:r>
              <w:rPr>
                <w:rFonts w:hint="eastAsia" w:ascii="方正书宋-简" w:hAnsi="方正书宋-简" w:eastAsia="方正书宋-简" w:cs="方正书宋-简"/>
                <w:spacing w:val="-1"/>
                <w:lang w:eastAsia="zh-CN"/>
              </w:rPr>
              <w:t>①采购人无正当理由拒</w:t>
            </w:r>
            <w:r>
              <w:rPr>
                <w:rFonts w:hint="eastAsia" w:ascii="方正书宋-简" w:hAnsi="方正书宋-简" w:eastAsia="方正书宋-简" w:cs="方正书宋-简"/>
                <w:spacing w:val="-5"/>
                <w:lang w:eastAsia="zh-CN"/>
              </w:rPr>
              <w:t>收试题的，采购人应偿付合同总价百分之一</w:t>
            </w:r>
            <w:r>
              <w:rPr>
                <w:rFonts w:hint="eastAsia" w:ascii="方正书宋-简" w:hAnsi="方正书宋-简" w:eastAsia="方正书宋-简" w:cs="方正书宋-简"/>
                <w:spacing w:val="-2"/>
                <w:lang w:eastAsia="zh-CN"/>
              </w:rPr>
              <w:t>的违约金</w:t>
            </w:r>
            <w:r>
              <w:rPr>
                <w:rFonts w:hint="eastAsia" w:ascii="方正书宋-简" w:hAnsi="方正书宋-简" w:eastAsia="方正书宋-简" w:cs="方正书宋-简"/>
                <w:spacing w:val="-28"/>
                <w:lang w:eastAsia="zh-CN"/>
              </w:rPr>
              <w:t xml:space="preserve"> </w:t>
            </w:r>
            <w:r>
              <w:rPr>
                <w:rFonts w:hint="eastAsia" w:ascii="方正书宋-简" w:hAnsi="方正书宋-简" w:eastAsia="方正书宋-简" w:cs="方正书宋-简"/>
                <w:spacing w:val="-2"/>
                <w:lang w:eastAsia="zh-CN"/>
              </w:rPr>
              <w:t>；②采购人逾期提交支付凭证的</w:t>
            </w:r>
            <w:r>
              <w:rPr>
                <w:rFonts w:hint="eastAsia" w:ascii="方正书宋-简" w:hAnsi="方正书宋-简" w:eastAsia="方正书宋-简" w:cs="方正书宋-简"/>
                <w:lang w:eastAsia="zh-CN"/>
              </w:rPr>
              <w:t>（以采购人提交</w:t>
            </w:r>
            <w:r>
              <w:rPr>
                <w:rFonts w:ascii="方正书宋-简" w:hAnsi="方正书宋-简" w:eastAsia="方正书宋-简" w:cs="方正书宋-简"/>
                <w:lang w:eastAsia="zh-CN"/>
              </w:rPr>
              <w:t>西昌</w:t>
            </w:r>
            <w:r>
              <w:rPr>
                <w:rFonts w:hint="eastAsia" w:ascii="方正书宋-简" w:hAnsi="方正书宋-简" w:eastAsia="方正书宋-简" w:cs="方正书宋-简"/>
                <w:lang w:eastAsia="zh-CN"/>
              </w:rPr>
              <w:t>市财政国库支付中心</w:t>
            </w:r>
            <w:r>
              <w:rPr>
                <w:rFonts w:hint="eastAsia" w:ascii="方正书宋-简" w:hAnsi="方正书宋-简" w:eastAsia="方正书宋-简" w:cs="方正书宋-简"/>
                <w:spacing w:val="-3"/>
                <w:lang w:eastAsia="zh-CN"/>
              </w:rPr>
              <w:t>的时间为准</w:t>
            </w:r>
            <w:r>
              <w:rPr>
                <w:rFonts w:hint="eastAsia" w:ascii="方正书宋-简" w:hAnsi="方正书宋-简" w:eastAsia="方正书宋-简" w:cs="方正书宋-简"/>
                <w:spacing w:val="-22"/>
                <w:lang w:eastAsia="zh-CN"/>
              </w:rPr>
              <w:t>），</w:t>
            </w:r>
            <w:r>
              <w:rPr>
                <w:rFonts w:hint="eastAsia" w:ascii="方正书宋-简" w:hAnsi="方正书宋-简" w:eastAsia="方正书宋-简" w:cs="方正书宋-简"/>
                <w:spacing w:val="-3"/>
                <w:lang w:eastAsia="zh-CN"/>
              </w:rPr>
              <w:t>除应及时提交外，应向供应</w:t>
            </w:r>
            <w:r>
              <w:rPr>
                <w:rFonts w:hint="eastAsia" w:ascii="方正书宋-简" w:hAnsi="方正书宋-简" w:eastAsia="方正书宋-简" w:cs="方正书宋-简"/>
                <w:spacing w:val="-2"/>
                <w:lang w:eastAsia="zh-CN"/>
              </w:rPr>
              <w:t>商偿付欠款总额万分之一/天的违约金；</w:t>
            </w:r>
            <w:r>
              <w:rPr>
                <w:rFonts w:hint="eastAsia" w:ascii="方正书宋-简" w:hAnsi="方正书宋-简" w:eastAsia="方正书宋-简" w:cs="方正书宋-简"/>
                <w:spacing w:val="-1"/>
                <w:lang w:eastAsia="zh-CN"/>
              </w:rPr>
              <w:t>③采购人偿付的违约金不足以弥补供应商损失的，还应按供应商损失尚未弥补的部分，支付赔偿金给供应商</w:t>
            </w:r>
            <w:r>
              <w:rPr>
                <w:rFonts w:ascii="方正书宋-简" w:hAnsi="方正书宋-简" w:eastAsia="方正书宋-简" w:cs="方正书宋-简"/>
                <w:spacing w:val="-1"/>
                <w:lang w:eastAsia="zh-CN"/>
              </w:rPr>
              <w:t>。</w:t>
            </w:r>
          </w:p>
          <w:p>
            <w:pPr>
              <w:pStyle w:val="10"/>
              <w:keepNext w:val="0"/>
              <w:keepLines w:val="0"/>
              <w:pageBreakBefore w:val="0"/>
              <w:widowControl w:val="0"/>
              <w:kinsoku/>
              <w:wordWrap/>
              <w:overflowPunct/>
              <w:topLinePunct w:val="0"/>
              <w:autoSpaceDE/>
              <w:autoSpaceDN/>
              <w:bidi w:val="0"/>
              <w:adjustRightInd/>
              <w:snapToGrid/>
              <w:spacing w:line="240" w:lineRule="auto"/>
              <w:ind w:left="42" w:leftChars="20" w:right="42" w:rightChars="20" w:firstLine="0"/>
              <w:jc w:val="both"/>
              <w:textAlignment w:val="auto"/>
              <w:rPr>
                <w:rFonts w:ascii="方正书宋-简" w:hAnsi="方正书宋-简" w:eastAsia="方正书宋-简" w:cs="方正书宋-简"/>
                <w:spacing w:val="-1"/>
                <w:lang w:eastAsia="zh-CN"/>
              </w:rPr>
            </w:pPr>
            <w:r>
              <w:rPr>
                <w:rFonts w:hint="eastAsia" w:ascii="方正书宋-简" w:hAnsi="方正书宋-简" w:eastAsia="方正书宋-简" w:cs="方正书宋-简"/>
                <w:spacing w:val="-1"/>
                <w:lang w:eastAsia="zh-CN"/>
              </w:rPr>
              <w:t>供应商违约责任：</w:t>
            </w:r>
          </w:p>
          <w:p>
            <w:pPr>
              <w:pStyle w:val="10"/>
              <w:keepNext w:val="0"/>
              <w:keepLines w:val="0"/>
              <w:pageBreakBefore w:val="0"/>
              <w:widowControl w:val="0"/>
              <w:kinsoku/>
              <w:wordWrap/>
              <w:overflowPunct/>
              <w:topLinePunct w:val="0"/>
              <w:autoSpaceDE/>
              <w:autoSpaceDN/>
              <w:bidi w:val="0"/>
              <w:adjustRightInd/>
              <w:snapToGrid/>
              <w:spacing w:line="240" w:lineRule="auto"/>
              <w:ind w:left="42" w:leftChars="20" w:right="42" w:rightChars="20" w:firstLine="0"/>
              <w:jc w:val="both"/>
              <w:textAlignment w:val="auto"/>
              <w:rPr>
                <w:rFonts w:ascii="方正书宋-简" w:hAnsi="方正书宋-简" w:eastAsia="方正书宋-简" w:cs="方正书宋-简"/>
                <w:spacing w:val="67"/>
                <w:lang w:eastAsia="zh-CN"/>
              </w:rPr>
            </w:pPr>
            <w:r>
              <w:rPr>
                <w:rFonts w:hint="eastAsia" w:ascii="方正书宋-简" w:hAnsi="方正书宋-简" w:eastAsia="方正书宋-简" w:cs="方正书宋-简"/>
                <w:spacing w:val="-1"/>
                <w:lang w:eastAsia="zh-CN"/>
              </w:rPr>
              <w:t>①供应商交付的试题质量不符合合同</w:t>
            </w:r>
            <w:r>
              <w:rPr>
                <w:rFonts w:hint="eastAsia" w:ascii="方正书宋-简" w:hAnsi="方正书宋-简" w:eastAsia="方正书宋-简" w:cs="方正书宋-简"/>
                <w:spacing w:val="-6"/>
                <w:lang w:eastAsia="zh-CN"/>
              </w:rPr>
              <w:t>规定的，采购人有权没收履约保证金，同时</w:t>
            </w:r>
            <w:r>
              <w:rPr>
                <w:rFonts w:hint="eastAsia" w:ascii="方正书宋-简" w:hAnsi="方正书宋-简" w:eastAsia="方正书宋-简" w:cs="方正书宋-简"/>
                <w:spacing w:val="-1"/>
                <w:lang w:eastAsia="zh-CN"/>
              </w:rPr>
              <w:t>供应商应向采购人支付合同总价的百分之</w:t>
            </w:r>
            <w:r>
              <w:rPr>
                <w:rFonts w:hint="eastAsia" w:ascii="方正书宋-简" w:hAnsi="方正书宋-简" w:eastAsia="方正书宋-简" w:cs="方正书宋-简"/>
                <w:spacing w:val="-6"/>
                <w:lang w:eastAsia="zh-CN"/>
              </w:rPr>
              <w:t>一的违约金，并须在合同规定的交付时间内更换合格的试题给采购人，否则，视作供应商不能交付试题而违约，按本条本款下述第</w:t>
            </w:r>
            <w:r>
              <w:rPr>
                <w:rFonts w:hint="eastAsia" w:ascii="方正书宋-简" w:hAnsi="方正书宋-简" w:eastAsia="方正书宋-简" w:cs="方正书宋-简"/>
                <w:spacing w:val="-7"/>
                <w:lang w:eastAsia="zh-CN"/>
              </w:rPr>
              <w:t>“②</w:t>
            </w:r>
            <w:r>
              <w:rPr>
                <w:rFonts w:hint="eastAsia" w:ascii="方正书宋-简" w:hAnsi="方正书宋-简" w:eastAsia="方正书宋-简" w:cs="方正书宋-简"/>
                <w:spacing w:val="-40"/>
                <w:lang w:eastAsia="zh-CN"/>
              </w:rPr>
              <w:t xml:space="preserve"> </w:t>
            </w:r>
            <w:r>
              <w:rPr>
                <w:rFonts w:hint="eastAsia" w:ascii="方正书宋-简" w:hAnsi="方正书宋-简" w:eastAsia="方正书宋-简" w:cs="方正书宋-简"/>
                <w:spacing w:val="-7"/>
                <w:lang w:eastAsia="zh-CN"/>
              </w:rPr>
              <w:t>”项规定由供应商偿付违约赔偿金给采</w:t>
            </w:r>
            <w:r>
              <w:rPr>
                <w:rFonts w:hint="eastAsia" w:ascii="方正书宋-简" w:hAnsi="方正书宋-简" w:eastAsia="方正书宋-简" w:cs="方正书宋-简"/>
                <w:lang w:eastAsia="zh-CN"/>
              </w:rPr>
              <w:t>购人。</w:t>
            </w:r>
          </w:p>
          <w:p>
            <w:pPr>
              <w:pStyle w:val="10"/>
              <w:keepNext w:val="0"/>
              <w:keepLines w:val="0"/>
              <w:pageBreakBefore w:val="0"/>
              <w:widowControl w:val="0"/>
              <w:kinsoku/>
              <w:wordWrap/>
              <w:overflowPunct/>
              <w:topLinePunct w:val="0"/>
              <w:autoSpaceDE/>
              <w:autoSpaceDN/>
              <w:bidi w:val="0"/>
              <w:adjustRightInd/>
              <w:snapToGrid/>
              <w:spacing w:line="240" w:lineRule="auto"/>
              <w:ind w:left="42" w:leftChars="20" w:right="42" w:rightChars="20" w:firstLine="0"/>
              <w:jc w:val="both"/>
              <w:textAlignment w:val="auto"/>
              <w:rPr>
                <w:rFonts w:ascii="方正书宋-简" w:hAnsi="方正书宋-简" w:eastAsia="方正书宋-简" w:cs="方正书宋-简"/>
                <w:spacing w:val="56"/>
                <w:w w:val="101"/>
                <w:lang w:eastAsia="zh-CN"/>
              </w:rPr>
            </w:pPr>
            <w:r>
              <w:rPr>
                <w:rFonts w:hint="eastAsia" w:ascii="方正书宋-简" w:hAnsi="方正书宋-简" w:eastAsia="方正书宋-简" w:cs="方正书宋-简"/>
                <w:lang w:eastAsia="zh-CN"/>
              </w:rPr>
              <w:t>②供应商不能交付试题或逾期交付</w:t>
            </w:r>
            <w:r>
              <w:rPr>
                <w:rFonts w:hint="eastAsia" w:ascii="方正书宋-简" w:hAnsi="方正书宋-简" w:eastAsia="方正书宋-简" w:cs="方正书宋-简"/>
                <w:spacing w:val="-6"/>
                <w:lang w:eastAsia="zh-CN"/>
              </w:rPr>
              <w:t>试题而违约的，除应及时交足试题外，应向</w:t>
            </w:r>
            <w:r>
              <w:rPr>
                <w:rFonts w:hint="eastAsia" w:ascii="方正书宋-简" w:hAnsi="方正书宋-简" w:eastAsia="方正书宋-简" w:cs="方正书宋-简"/>
                <w:spacing w:val="-1"/>
                <w:lang w:eastAsia="zh-CN"/>
              </w:rPr>
              <w:t>采购人偿付逾期交货部分货款总额的万分</w:t>
            </w:r>
            <w:r>
              <w:rPr>
                <w:rFonts w:hint="eastAsia" w:ascii="方正书宋-简" w:hAnsi="方正书宋-简" w:eastAsia="方正书宋-简" w:cs="方正书宋-简"/>
                <w:spacing w:val="-7"/>
                <w:lang w:eastAsia="zh-CN"/>
              </w:rPr>
              <w:t>之一/天的违约金；逾期交付超过30天，采</w:t>
            </w:r>
            <w:r>
              <w:rPr>
                <w:rFonts w:hint="eastAsia" w:ascii="方正书宋-简" w:hAnsi="方正书宋-简" w:eastAsia="方正书宋-简" w:cs="方正书宋-简"/>
                <w:spacing w:val="-6"/>
                <w:lang w:eastAsia="zh-CN"/>
              </w:rPr>
              <w:t>购人有权终止合同，供应商则应按合同总价</w:t>
            </w:r>
            <w:r>
              <w:rPr>
                <w:rFonts w:hint="eastAsia" w:ascii="方正书宋-简" w:hAnsi="方正书宋-简" w:eastAsia="方正书宋-简" w:cs="方正书宋-简"/>
                <w:spacing w:val="-5"/>
                <w:lang w:eastAsia="zh-CN"/>
              </w:rPr>
              <w:t>的百分之十的款额向采购人支付违约金，如</w:t>
            </w:r>
            <w:r>
              <w:rPr>
                <w:rFonts w:hint="eastAsia" w:ascii="方正书宋-简" w:hAnsi="方正书宋-简" w:eastAsia="方正书宋-简" w:cs="方正书宋-简"/>
                <w:lang w:eastAsia="zh-CN"/>
              </w:rPr>
              <w:t>因采购人原因而造成逾期交付的时间向后</w:t>
            </w:r>
            <w:r>
              <w:rPr>
                <w:rFonts w:hint="eastAsia" w:ascii="方正书宋-简" w:hAnsi="方正书宋-简" w:eastAsia="方正书宋-简" w:cs="方正书宋-简"/>
                <w:spacing w:val="1"/>
                <w:lang w:eastAsia="zh-CN"/>
              </w:rPr>
              <w:t>顺延。</w:t>
            </w:r>
          </w:p>
          <w:p>
            <w:pPr>
              <w:pStyle w:val="10"/>
              <w:keepNext w:val="0"/>
              <w:keepLines w:val="0"/>
              <w:pageBreakBefore w:val="0"/>
              <w:widowControl w:val="0"/>
              <w:kinsoku/>
              <w:wordWrap/>
              <w:overflowPunct/>
              <w:topLinePunct w:val="0"/>
              <w:autoSpaceDE/>
              <w:autoSpaceDN/>
              <w:bidi w:val="0"/>
              <w:adjustRightInd/>
              <w:snapToGrid/>
              <w:spacing w:line="240" w:lineRule="auto"/>
              <w:ind w:left="42" w:leftChars="20" w:right="42" w:rightChars="20" w:firstLine="0"/>
              <w:jc w:val="both"/>
              <w:textAlignment w:val="auto"/>
              <w:rPr>
                <w:rFonts w:ascii="方正书宋-简" w:hAnsi="方正书宋-简" w:eastAsia="方正书宋-简" w:cs="方正书宋-简"/>
                <w:spacing w:val="56"/>
                <w:w w:val="101"/>
                <w:lang w:eastAsia="zh-CN"/>
              </w:rPr>
            </w:pPr>
            <w:r>
              <w:rPr>
                <w:rFonts w:hint="eastAsia" w:ascii="方正书宋-简" w:hAnsi="方正书宋-简" w:eastAsia="方正书宋-简" w:cs="方正书宋-简"/>
                <w:spacing w:val="1"/>
                <w:lang w:eastAsia="zh-CN"/>
              </w:rPr>
              <w:t>③供应商试题经采购人送交上级主</w:t>
            </w:r>
            <w:r>
              <w:rPr>
                <w:rFonts w:hint="eastAsia" w:ascii="方正书宋-简" w:hAnsi="方正书宋-简" w:eastAsia="方正书宋-简" w:cs="方正书宋-简"/>
                <w:spacing w:val="-5"/>
                <w:lang w:eastAsia="zh-CN"/>
              </w:rPr>
              <w:t>管部门或相关领域技术专家验收后，如验收</w:t>
            </w:r>
            <w:r>
              <w:rPr>
                <w:rFonts w:hint="eastAsia" w:ascii="方正书宋-简" w:hAnsi="方正书宋-简" w:eastAsia="方正书宋-简" w:cs="方正书宋-简"/>
                <w:lang w:eastAsia="zh-CN"/>
              </w:rPr>
              <w:t>结果认定试题质量不符合本合同规定标准</w:t>
            </w:r>
            <w:r>
              <w:rPr>
                <w:rFonts w:hint="eastAsia" w:ascii="方正书宋-简" w:hAnsi="方正书宋-简" w:eastAsia="方正书宋-简" w:cs="方正书宋-简"/>
                <w:spacing w:val="-5"/>
                <w:lang w:eastAsia="zh-CN"/>
              </w:rPr>
              <w:t>的，则视为供应商没有按质量要求交付而违约，采购人有权没收履约保证金，同时供应商须在10天内无条件更换合格的试题</w:t>
            </w:r>
            <w:r>
              <w:rPr>
                <w:rFonts w:hint="eastAsia" w:ascii="方正书宋-简" w:hAnsi="方正书宋-简" w:eastAsia="方正书宋-简" w:cs="方正书宋-简"/>
                <w:spacing w:val="-26"/>
                <w:lang w:eastAsia="zh-CN"/>
              </w:rPr>
              <w:t>，</w:t>
            </w:r>
            <w:r>
              <w:rPr>
                <w:rFonts w:hint="eastAsia" w:ascii="方正书宋-简" w:hAnsi="方正书宋-简" w:eastAsia="方正书宋-简" w:cs="方正书宋-简"/>
                <w:spacing w:val="-5"/>
                <w:lang w:eastAsia="zh-CN"/>
              </w:rPr>
              <w:t>如逾期不能更换合格的试题，采购人有权终止本合同，供应商应另付合同总价的百分之十</w:t>
            </w:r>
            <w:r>
              <w:rPr>
                <w:rFonts w:hint="eastAsia" w:ascii="方正书宋-简" w:hAnsi="方正书宋-简" w:eastAsia="方正书宋-简" w:cs="方正书宋-简"/>
                <w:spacing w:val="1"/>
                <w:lang w:eastAsia="zh-CN"/>
              </w:rPr>
              <w:t>赔偿采购人的损失。</w:t>
            </w:r>
          </w:p>
          <w:p>
            <w:pPr>
              <w:pStyle w:val="10"/>
              <w:keepNext w:val="0"/>
              <w:keepLines w:val="0"/>
              <w:pageBreakBefore w:val="0"/>
              <w:widowControl w:val="0"/>
              <w:kinsoku/>
              <w:wordWrap/>
              <w:overflowPunct/>
              <w:topLinePunct w:val="0"/>
              <w:autoSpaceDE/>
              <w:autoSpaceDN/>
              <w:bidi w:val="0"/>
              <w:adjustRightInd/>
              <w:snapToGrid/>
              <w:spacing w:line="240" w:lineRule="auto"/>
              <w:ind w:left="42" w:leftChars="20" w:right="42" w:rightChars="20" w:firstLine="0"/>
              <w:jc w:val="both"/>
              <w:textAlignment w:val="auto"/>
              <w:rPr>
                <w:rFonts w:ascii="方正书宋-简" w:hAnsi="方正书宋-简" w:eastAsia="方正书宋-简" w:cs="方正书宋-简"/>
                <w:spacing w:val="56"/>
                <w:w w:val="101"/>
                <w:lang w:eastAsia="zh-CN"/>
              </w:rPr>
            </w:pPr>
            <w:r>
              <w:rPr>
                <w:rFonts w:hint="eastAsia" w:ascii="方正书宋-简" w:hAnsi="方正书宋-简" w:eastAsia="方正书宋-简" w:cs="方正书宋-简"/>
                <w:spacing w:val="1"/>
                <w:lang w:eastAsia="zh-CN"/>
              </w:rPr>
              <w:t>④供应商保证本合同</w:t>
            </w:r>
            <w:r>
              <w:rPr>
                <w:rFonts w:hint="eastAsia" w:ascii="方正书宋-简" w:hAnsi="方正书宋-简" w:eastAsia="方正书宋-简" w:cs="方正书宋-简"/>
                <w:spacing w:val="-5"/>
                <w:lang w:eastAsia="zh-CN"/>
              </w:rPr>
              <w:t>试题的权利无瑕疵，包括试题所有权及知识</w:t>
            </w:r>
            <w:r>
              <w:rPr>
                <w:rFonts w:hint="eastAsia" w:ascii="方正书宋-简" w:hAnsi="方正书宋-简" w:eastAsia="方正书宋-简" w:cs="方正书宋-简"/>
                <w:lang w:eastAsia="zh-CN"/>
              </w:rPr>
              <w:t>产权等权利无瑕疵。如任何第三方经法院</w:t>
            </w:r>
            <w:r>
              <w:rPr>
                <w:rFonts w:hint="eastAsia" w:ascii="方正书宋-简" w:hAnsi="方正书宋-简" w:eastAsia="方正书宋-简" w:cs="方正书宋-简"/>
                <w:spacing w:val="-5"/>
                <w:lang w:eastAsia="zh-CN"/>
              </w:rPr>
              <w:t>（或仲裁机构）裁决有权对上述试题主张权</w:t>
            </w:r>
            <w:r>
              <w:rPr>
                <w:rFonts w:hint="eastAsia" w:ascii="方正书宋-简" w:hAnsi="方正书宋-简" w:eastAsia="方正书宋-简" w:cs="方正书宋-简"/>
                <w:lang w:eastAsia="zh-CN"/>
              </w:rPr>
              <w:t>利的，供应商除应向采购人返还已收款项</w:t>
            </w:r>
            <w:r>
              <w:rPr>
                <w:rFonts w:hint="eastAsia" w:ascii="方正书宋-简" w:hAnsi="方正书宋-简" w:eastAsia="方正书宋-简" w:cs="方正书宋-简"/>
                <w:spacing w:val="-5"/>
                <w:lang w:eastAsia="zh-CN"/>
              </w:rPr>
              <w:t>外，还应另按合同总价的百分之十向采购人</w:t>
            </w:r>
            <w:r>
              <w:rPr>
                <w:rFonts w:hint="eastAsia" w:ascii="方正书宋-简" w:hAnsi="方正书宋-简" w:eastAsia="方正书宋-简" w:cs="方正书宋-简"/>
                <w:lang w:eastAsia="zh-CN"/>
              </w:rPr>
              <w:t>支付违约金并赔偿因此给采购人造成的一</w:t>
            </w:r>
            <w:r>
              <w:rPr>
                <w:rFonts w:hint="eastAsia" w:ascii="方正书宋-简" w:hAnsi="方正书宋-简" w:eastAsia="方正书宋-简" w:cs="方正书宋-简"/>
                <w:spacing w:val="1"/>
                <w:lang w:eastAsia="zh-CN"/>
              </w:rPr>
              <w:t>切损失。</w:t>
            </w:r>
          </w:p>
          <w:p>
            <w:pPr>
              <w:pStyle w:val="10"/>
              <w:keepNext w:val="0"/>
              <w:keepLines w:val="0"/>
              <w:pageBreakBefore w:val="0"/>
              <w:widowControl w:val="0"/>
              <w:kinsoku/>
              <w:wordWrap/>
              <w:overflowPunct/>
              <w:topLinePunct w:val="0"/>
              <w:autoSpaceDE/>
              <w:autoSpaceDN/>
              <w:bidi w:val="0"/>
              <w:adjustRightInd/>
              <w:snapToGrid/>
              <w:spacing w:line="240" w:lineRule="auto"/>
              <w:ind w:left="42" w:leftChars="20" w:right="42" w:rightChars="20" w:firstLine="0"/>
              <w:jc w:val="both"/>
              <w:textAlignment w:val="auto"/>
              <w:rPr>
                <w:rFonts w:hint="eastAsia" w:ascii="方正书宋-简" w:hAnsi="方正书宋-简" w:eastAsia="方正书宋-简" w:cs="方正书宋-简"/>
                <w:lang w:eastAsia="zh-CN"/>
              </w:rPr>
            </w:pPr>
            <w:r>
              <w:rPr>
                <w:rFonts w:hint="eastAsia" w:ascii="方正书宋-简" w:hAnsi="方正书宋-简" w:eastAsia="方正书宋-简" w:cs="方正书宋-简"/>
                <w:spacing w:val="1"/>
                <w:lang w:eastAsia="zh-CN"/>
              </w:rPr>
              <w:t>⑤供应商偿付的违约金不足以弥</w:t>
            </w:r>
            <w:r>
              <w:rPr>
                <w:rFonts w:hint="eastAsia" w:ascii="方正书宋-简" w:hAnsi="方正书宋-简" w:eastAsia="方正书宋-简" w:cs="方正书宋-简"/>
                <w:spacing w:val="-5"/>
                <w:lang w:eastAsia="zh-CN"/>
              </w:rPr>
              <w:t>补采购人损失的，还应按采购人损失尚未弥</w:t>
            </w:r>
            <w:r>
              <w:rPr>
                <w:rFonts w:hint="eastAsia" w:ascii="方正书宋-简" w:hAnsi="方正书宋-简" w:eastAsia="方正书宋-简" w:cs="方正书宋-简"/>
                <w:lang w:eastAsia="zh-CN"/>
              </w:rPr>
              <w:t>补的部分，支付赔偿金给采购人。</w:t>
            </w:r>
          </w:p>
          <w:p>
            <w:pPr>
              <w:pStyle w:val="10"/>
              <w:keepNext w:val="0"/>
              <w:keepLines w:val="0"/>
              <w:pageBreakBefore w:val="0"/>
              <w:widowControl w:val="0"/>
              <w:kinsoku/>
              <w:wordWrap/>
              <w:overflowPunct/>
              <w:topLinePunct w:val="0"/>
              <w:autoSpaceDE/>
              <w:autoSpaceDN/>
              <w:bidi w:val="0"/>
              <w:adjustRightInd/>
              <w:snapToGrid/>
              <w:spacing w:line="240" w:lineRule="auto"/>
              <w:ind w:left="42" w:leftChars="20" w:right="42" w:rightChars="20" w:firstLine="0"/>
              <w:jc w:val="both"/>
              <w:textAlignment w:val="auto"/>
              <w:rPr>
                <w:rFonts w:ascii="方正书宋-简" w:hAnsi="方正书宋-简" w:eastAsia="方正书宋-简" w:cs="方正书宋-简"/>
                <w:lang w:eastAsia="zh-CN"/>
              </w:rPr>
            </w:pPr>
            <w:r>
              <w:rPr>
                <w:rFonts w:hint="eastAsia" w:ascii="方正书宋-简" w:hAnsi="方正书宋-简" w:eastAsia="方正书宋-简" w:cs="方正书宋-简"/>
                <w:lang w:eastAsia="zh-CN"/>
              </w:rPr>
              <w:t>争议解</w:t>
            </w:r>
            <w:r>
              <w:rPr>
                <w:rFonts w:hint="eastAsia" w:ascii="方正书宋-简" w:hAnsi="方正书宋-简" w:eastAsia="方正书宋-简" w:cs="方正书宋-简"/>
                <w:spacing w:val="-3"/>
                <w:lang w:eastAsia="zh-CN"/>
              </w:rPr>
              <w:t>决办法：合同履行期间,若双方发生争议，</w:t>
            </w:r>
            <w:r>
              <w:rPr>
                <w:rFonts w:hint="eastAsia" w:ascii="方正书宋-简" w:hAnsi="方正书宋-简" w:eastAsia="方正书宋-简" w:cs="方正书宋-简"/>
                <w:spacing w:val="-6"/>
                <w:lang w:eastAsia="zh-CN"/>
              </w:rPr>
              <w:t>可协商或由有关部门调解解决，协商或调解</w:t>
            </w:r>
            <w:r>
              <w:rPr>
                <w:rFonts w:hint="eastAsia" w:ascii="方正书宋-简" w:hAnsi="方正书宋-简" w:eastAsia="方正书宋-简" w:cs="方正书宋-简"/>
                <w:spacing w:val="-2"/>
                <w:lang w:eastAsia="zh-CN"/>
              </w:rPr>
              <w:t>不成的，</w:t>
            </w:r>
            <w:r>
              <w:rPr>
                <w:rFonts w:hint="eastAsia" w:ascii="方正书宋-简" w:hAnsi="方正书宋-简" w:eastAsia="方正书宋-简" w:cs="方正书宋-简"/>
                <w:spacing w:val="-42"/>
                <w:lang w:eastAsia="zh-CN"/>
              </w:rPr>
              <w:t xml:space="preserve"> </w:t>
            </w:r>
            <w:r>
              <w:rPr>
                <w:rFonts w:hint="eastAsia" w:ascii="方正书宋-简" w:hAnsi="方正书宋-简" w:eastAsia="方正书宋-简" w:cs="方正书宋-简"/>
                <w:spacing w:val="-2"/>
                <w:lang w:eastAsia="zh-CN"/>
              </w:rPr>
              <w:t>由</w:t>
            </w:r>
            <w:r>
              <w:rPr>
                <w:rFonts w:ascii="方正书宋-简" w:hAnsi="方正书宋-简" w:eastAsia="方正书宋-简" w:cs="方正书宋-简"/>
                <w:spacing w:val="-2"/>
                <w:lang w:eastAsia="zh-CN"/>
              </w:rPr>
              <w:t>属地市级</w:t>
            </w:r>
            <w:r>
              <w:rPr>
                <w:rFonts w:hint="eastAsia" w:ascii="方正书宋-简" w:hAnsi="方正书宋-简" w:eastAsia="方正书宋-简" w:cs="方正书宋-简"/>
                <w:spacing w:val="-2"/>
                <w:lang w:eastAsia="zh-CN"/>
              </w:rPr>
              <w:t>人民法院裁决。</w:t>
            </w:r>
          </w:p>
        </w:tc>
      </w:tr>
    </w:tbl>
    <w:p>
      <w:pPr>
        <w:pStyle w:val="4"/>
        <w:numPr>
          <w:ilvl w:val="0"/>
          <w:numId w:val="1"/>
        </w:numPr>
        <w:rPr>
          <w:rFonts w:ascii="方正书宋-简" w:hAnsi="方正书宋-简" w:eastAsia="方正书宋-简" w:cs="方正书宋-简"/>
          <w:sz w:val="24"/>
          <w:szCs w:val="24"/>
        </w:rPr>
      </w:pPr>
      <w:r>
        <w:rPr>
          <w:rFonts w:hint="eastAsia" w:ascii="方正黑体-简" w:hAnsi="方正黑体-简" w:eastAsia="方正黑体-简" w:cs="方正黑体-简"/>
          <w:sz w:val="24"/>
          <w:szCs w:val="24"/>
        </w:rPr>
        <w:t>其他要求</w:t>
      </w:r>
    </w:p>
    <w:p>
      <w:pPr>
        <w:pStyle w:val="4"/>
        <w:ind w:left="420"/>
        <w:rPr>
          <w:rFonts w:ascii="方正书宋-简" w:hAnsi="方正书宋-简" w:eastAsia="方正书宋-简" w:cs="方正书宋-简"/>
          <w:sz w:val="24"/>
          <w:szCs w:val="24"/>
        </w:rPr>
      </w:pPr>
      <w:r>
        <w:rPr>
          <w:rFonts w:hint="eastAsia" w:ascii="方正书宋-简" w:hAnsi="方正书宋-简" w:eastAsia="方正书宋-简" w:cs="方正书宋-简"/>
          <w:spacing w:val="-1"/>
          <w:sz w:val="24"/>
          <w:szCs w:val="24"/>
        </w:rPr>
        <w:t>1.知识产权归属和处理方式：验收合格后</w:t>
      </w:r>
      <w:r>
        <w:rPr>
          <w:rFonts w:hint="eastAsia" w:ascii="方正书宋-简" w:hAnsi="方正书宋-简" w:eastAsia="方正书宋-简" w:cs="方正书宋-简"/>
          <w:spacing w:val="-2"/>
          <w:sz w:val="24"/>
          <w:szCs w:val="24"/>
        </w:rPr>
        <w:t>移交</w:t>
      </w:r>
      <w:r>
        <w:rPr>
          <w:rFonts w:ascii="方正书宋-简" w:hAnsi="方正书宋-简" w:eastAsia="方正书宋-简" w:cs="方正书宋-简"/>
          <w:spacing w:val="-2"/>
          <w:sz w:val="24"/>
          <w:szCs w:val="24"/>
        </w:rPr>
        <w:t>西昌学院</w:t>
      </w:r>
      <w:r>
        <w:rPr>
          <w:rFonts w:hint="eastAsia" w:ascii="方正书宋-简" w:hAnsi="方正书宋-简" w:eastAsia="方正书宋-简" w:cs="方正书宋-简"/>
          <w:spacing w:val="-29"/>
          <w:sz w:val="24"/>
          <w:szCs w:val="24"/>
        </w:rPr>
        <w:t xml:space="preserve"> </w:t>
      </w:r>
      <w:r>
        <w:rPr>
          <w:rFonts w:hint="eastAsia" w:ascii="方正书宋-简" w:hAnsi="方正书宋-简" w:eastAsia="方正书宋-简" w:cs="方正书宋-简"/>
          <w:spacing w:val="-2"/>
          <w:sz w:val="24"/>
          <w:szCs w:val="24"/>
        </w:rPr>
        <w:t>，知识产</w:t>
      </w:r>
      <w:r>
        <w:rPr>
          <w:rFonts w:hint="eastAsia" w:ascii="方正书宋-简" w:hAnsi="方正书宋-简" w:eastAsia="方正书宋-简" w:cs="方正书宋-简"/>
          <w:spacing w:val="-1"/>
          <w:sz w:val="24"/>
          <w:szCs w:val="24"/>
        </w:rPr>
        <w:t>权归属</w:t>
      </w:r>
      <w:r>
        <w:rPr>
          <w:rFonts w:ascii="方正书宋-简" w:hAnsi="方正书宋-简" w:eastAsia="方正书宋-简" w:cs="方正书宋-简"/>
          <w:spacing w:val="-1"/>
          <w:sz w:val="24"/>
          <w:szCs w:val="24"/>
        </w:rPr>
        <w:t>西昌学院</w:t>
      </w:r>
      <w:r>
        <w:rPr>
          <w:rFonts w:hint="eastAsia" w:ascii="方正书宋-简" w:hAnsi="方正书宋-简" w:eastAsia="方正书宋-简" w:cs="方正书宋-简"/>
          <w:spacing w:val="-1"/>
          <w:sz w:val="24"/>
          <w:szCs w:val="24"/>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方正黑体-简">
    <w:altName w:val="微软雅黑"/>
    <w:panose1 w:val="020B0604020202020204"/>
    <w:charset w:val="86"/>
    <w:family w:val="auto"/>
    <w:pitch w:val="default"/>
    <w:sig w:usb0="00000000" w:usb1="00000000" w:usb2="00000016" w:usb3="00000000" w:csb0="00040001" w:csb1="00000000"/>
  </w:font>
  <w:font w:name="方正书宋-简">
    <w:altName w:val="微软雅黑"/>
    <w:panose1 w:val="020B0604020202020204"/>
    <w:charset w:val="86"/>
    <w:family w:val="auto"/>
    <w:pitch w:val="default"/>
    <w:sig w:usb0="00000000" w:usb1="00000000" w:usb2="00000016" w:usb3="00000000" w:csb0="00040001"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7CAA67"/>
    <w:multiLevelType w:val="singleLevel"/>
    <w:tmpl w:val="FE7CAA67"/>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YyYTQ0ZTBhZGYyNTM1OTY2MzYzYjVkMDkxMWI4MWQifQ=="/>
  </w:docVars>
  <w:rsids>
    <w:rsidRoot w:val="00680A2F"/>
    <w:rsid w:val="00166EEA"/>
    <w:rsid w:val="00390B51"/>
    <w:rsid w:val="003D6EAF"/>
    <w:rsid w:val="004F7893"/>
    <w:rsid w:val="00575803"/>
    <w:rsid w:val="00680A2F"/>
    <w:rsid w:val="007056CF"/>
    <w:rsid w:val="007416B8"/>
    <w:rsid w:val="007D67A2"/>
    <w:rsid w:val="008E7923"/>
    <w:rsid w:val="00BD094B"/>
    <w:rsid w:val="00EE48A8"/>
    <w:rsid w:val="06A50AB1"/>
    <w:rsid w:val="07FB6BDB"/>
    <w:rsid w:val="0AB15C77"/>
    <w:rsid w:val="153E3BDE"/>
    <w:rsid w:val="15981F0D"/>
    <w:rsid w:val="168D7598"/>
    <w:rsid w:val="16C805D0"/>
    <w:rsid w:val="207E61A3"/>
    <w:rsid w:val="28FB28CD"/>
    <w:rsid w:val="2F065CE2"/>
    <w:rsid w:val="366D6646"/>
    <w:rsid w:val="39912B25"/>
    <w:rsid w:val="3FC83B6D"/>
    <w:rsid w:val="42CB4E20"/>
    <w:rsid w:val="52946FDD"/>
    <w:rsid w:val="53332021"/>
    <w:rsid w:val="53F65A75"/>
    <w:rsid w:val="57454D4A"/>
    <w:rsid w:val="68B910F3"/>
    <w:rsid w:val="698E432E"/>
    <w:rsid w:val="6CA63A87"/>
    <w:rsid w:val="6CED5810"/>
    <w:rsid w:val="777F0F73"/>
    <w:rsid w:val="7D7653AD"/>
    <w:rsid w:val="7FFF5176"/>
    <w:rsid w:val="D23A3945"/>
    <w:rsid w:val="EFEE3D5C"/>
    <w:rsid w:val="FDF61D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Normal Indent"/>
    <w:basedOn w:val="1"/>
    <w:link w:val="12"/>
    <w:qFormat/>
    <w:uiPriority w:val="0"/>
    <w:pPr>
      <w:ind w:firstLine="420"/>
    </w:pPr>
    <w:rPr>
      <w:rFonts w:ascii="宋体"/>
      <w:kern w:val="0"/>
      <w:sz w:val="34"/>
      <w:szCs w:val="20"/>
    </w:rPr>
  </w:style>
  <w:style w:type="paragraph" w:styleId="3">
    <w:name w:val="Body Text"/>
    <w:basedOn w:val="1"/>
    <w:uiPriority w:val="0"/>
    <w:pPr>
      <w:spacing w:after="120"/>
    </w:pPr>
    <w:rPr>
      <w:rFonts w:ascii="Calibri" w:hAnsi="Calibri"/>
      <w:szCs w:val="22"/>
    </w:rPr>
  </w:style>
  <w:style w:type="paragraph" w:styleId="4">
    <w:name w:val="Plain Text"/>
    <w:basedOn w:val="1"/>
    <w:link w:val="8"/>
    <w:autoRedefine/>
    <w:qFormat/>
    <w:uiPriority w:val="0"/>
    <w:rPr>
      <w:rFonts w:ascii="宋体" w:hAnsi="Courier New" w:cs="Courier New"/>
      <w:szCs w:val="21"/>
    </w:rPr>
  </w:style>
  <w:style w:type="table" w:styleId="6">
    <w:name w:val="Table Grid"/>
    <w:basedOn w:val="5"/>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纯文本 字符"/>
    <w:basedOn w:val="7"/>
    <w:link w:val="4"/>
    <w:autoRedefine/>
    <w:qFormat/>
    <w:uiPriority w:val="0"/>
    <w:rPr>
      <w:rFonts w:ascii="宋体" w:hAnsi="Courier New" w:eastAsia="宋体" w:cs="Courier New"/>
      <w:szCs w:val="21"/>
    </w:rPr>
  </w:style>
  <w:style w:type="paragraph" w:customStyle="1" w:styleId="9">
    <w:name w:val="表格文字"/>
    <w:basedOn w:val="1"/>
    <w:qFormat/>
    <w:uiPriority w:val="0"/>
    <w:pPr>
      <w:spacing w:line="240" w:lineRule="atLeast"/>
      <w:jc w:val="center"/>
    </w:pPr>
    <w:rPr>
      <w:color w:val="000000"/>
      <w:szCs w:val="21"/>
    </w:rPr>
  </w:style>
  <w:style w:type="paragraph" w:customStyle="1" w:styleId="10">
    <w:name w:val="Table Text"/>
    <w:basedOn w:val="1"/>
    <w:autoRedefine/>
    <w:semiHidden/>
    <w:qFormat/>
    <w:uiPriority w:val="0"/>
    <w:rPr>
      <w:rFonts w:ascii="微软雅黑" w:hAnsi="微软雅黑" w:eastAsia="微软雅黑" w:cs="微软雅黑"/>
      <w:sz w:val="24"/>
      <w:lang w:eastAsia="en-US"/>
    </w:rPr>
  </w:style>
  <w:style w:type="table" w:customStyle="1" w:styleId="11">
    <w:name w:val="Table Normal"/>
    <w:autoRedefine/>
    <w:semiHidden/>
    <w:unhideWhenUsed/>
    <w:qFormat/>
    <w:uiPriority w:val="0"/>
    <w:tblPr>
      <w:tblCellMar>
        <w:top w:w="0" w:type="dxa"/>
        <w:left w:w="0" w:type="dxa"/>
        <w:bottom w:w="0" w:type="dxa"/>
        <w:right w:w="0" w:type="dxa"/>
      </w:tblCellMar>
    </w:tblPr>
  </w:style>
  <w:style w:type="character" w:customStyle="1" w:styleId="12">
    <w:name w:val="正文缩进 字符"/>
    <w:link w:val="2"/>
    <w:qFormat/>
    <w:locked/>
    <w:uiPriority w:val="0"/>
    <w:rPr>
      <w:rFonts w:ascii="宋体" w:hAnsi="Times New Roman" w:eastAsia="宋体" w:cs="Times New Roman"/>
      <w:sz w:val="3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5360</Words>
  <Characters>5672</Characters>
  <Lines>43</Lines>
  <Paragraphs>12</Paragraphs>
  <TotalTime>261</TotalTime>
  <ScaleCrop>false</ScaleCrop>
  <LinksUpToDate>false</LinksUpToDate>
  <CharactersWithSpaces>5902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2023-07-20T03:50:00Z</dcterms:created>
  <dc:creator>jiang</dc:creator>
  <cp:lastModifiedBy>薛涛</cp:lastModifiedBy>
  <dcterms:modified xsi:type="dcterms:W3CDTF">2025-10-30T03:42:01Z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C9B06714DAF64D3095F4C75D302FCAAA_13</vt:lpwstr>
  </property>
  <property fmtid="{D5CDD505-2E9C-101B-9397-08002B2CF9AE}" pid="4" name="KSOTemplateDocerSaveRecord">
    <vt:lpwstr>eyJoZGlkIjoiNTYyYTQ0ZTBhZGYyNTM1OTY2MzYzYjVkMDkxMWI4MWQiLCJ1c2VySWQiOiIxNDg3MTMzOTYwIn0=</vt:lpwstr>
  </property>
</Properties>
</file>