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叶根友毛笔行书2.0版" w:eastAsia="叶根友毛笔行书2.0版"/>
          <w:color w:val="FF0000"/>
          <w:sz w:val="96"/>
          <w:szCs w:val="96"/>
        </w:rPr>
      </w:pPr>
      <w:r>
        <w:rPr>
          <w:rFonts w:hint="eastAsia" w:ascii="叶根友毛笔行书2.0版" w:eastAsia="叶根友毛笔行书2.0版"/>
          <w:color w:val="FF0000"/>
          <w:sz w:val="96"/>
          <w:szCs w:val="96"/>
        </w:rPr>
        <w:t>工  作  简  报</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color w:val="FF0000"/>
          <w:sz w:val="36"/>
          <w:szCs w:val="36"/>
        </w:rPr>
      </w:pPr>
      <w:r>
        <w:rPr>
          <w:b/>
          <w:bCs/>
          <w:color w:val="FF0000"/>
          <w:sz w:val="36"/>
          <w:szCs w:val="36"/>
        </w:rPr>
        <w:t>20</w:t>
      </w:r>
      <w:r>
        <w:rPr>
          <w:rFonts w:hint="eastAsia"/>
          <w:b/>
          <w:bCs/>
          <w:color w:val="FF0000"/>
          <w:sz w:val="36"/>
          <w:szCs w:val="36"/>
        </w:rPr>
        <w:t>24年第</w:t>
      </w:r>
      <w:r>
        <w:rPr>
          <w:rFonts w:hint="eastAsia"/>
          <w:b/>
          <w:bCs/>
          <w:color w:val="FF0000"/>
          <w:sz w:val="36"/>
          <w:szCs w:val="36"/>
          <w:lang w:val="en-US" w:eastAsia="zh-CN"/>
        </w:rPr>
        <w:t>10</w:t>
      </w:r>
      <w:r>
        <w:rPr>
          <w:rFonts w:hint="eastAsia"/>
          <w:b/>
          <w:bCs/>
          <w:color w:val="FF0000"/>
          <w:sz w:val="36"/>
          <w:szCs w:val="36"/>
        </w:rPr>
        <w:t xml:space="preserve">期 </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color w:val="FF0000"/>
          <w:sz w:val="36"/>
        </w:rPr>
      </w:pPr>
    </w:p>
    <w:p>
      <w:pPr>
        <w:keepNext w:val="0"/>
        <w:keepLines w:val="0"/>
        <w:pageBreakBefore w:val="0"/>
        <w:widowControl w:val="0"/>
        <w:kinsoku/>
        <w:wordWrap/>
        <w:overflowPunct/>
        <w:topLinePunct w:val="0"/>
        <w:autoSpaceDE/>
        <w:autoSpaceDN/>
        <w:bidi w:val="0"/>
        <w:adjustRightInd/>
        <w:snapToGrid/>
        <w:spacing w:line="440" w:lineRule="exact"/>
        <w:ind w:left="1120" w:hanging="1120" w:hangingChars="400"/>
        <w:textAlignment w:val="auto"/>
        <w:rPr>
          <w:rFonts w:hint="eastAsia"/>
          <w:color w:val="000000"/>
          <w:sz w:val="28"/>
          <w:u w:val="double" w:color="FF0000"/>
        </w:rPr>
      </w:pPr>
      <w:r>
        <w:rPr>
          <w:rFonts w:hint="eastAsia"/>
          <w:color w:val="000000"/>
          <w:sz w:val="28"/>
          <w:u w:val="double" w:color="FF0000"/>
        </w:rPr>
        <w:t>西昌学院图书馆</w:t>
      </w:r>
      <w:r>
        <w:rPr>
          <w:color w:val="000000"/>
          <w:sz w:val="28"/>
          <w:u w:val="double" w:color="FF0000"/>
        </w:rPr>
        <w:t xml:space="preserve">                 </w:t>
      </w:r>
      <w:r>
        <w:rPr>
          <w:rFonts w:hint="eastAsia"/>
          <w:color w:val="000000"/>
          <w:sz w:val="28"/>
          <w:u w:val="double" w:color="FF0000"/>
          <w:lang w:val="en-US" w:eastAsia="zh-CN"/>
        </w:rPr>
        <w:t xml:space="preserve"> </w:t>
      </w:r>
      <w:r>
        <w:rPr>
          <w:color w:val="000000"/>
          <w:sz w:val="28"/>
          <w:u w:val="double" w:color="FF0000"/>
        </w:rPr>
        <w:t xml:space="preserve">          2</w:t>
      </w:r>
      <w:r>
        <w:rPr>
          <w:rFonts w:hint="eastAsia"/>
          <w:color w:val="000000"/>
          <w:sz w:val="28"/>
          <w:u w:val="double" w:color="FF0000"/>
        </w:rPr>
        <w:t>024年</w:t>
      </w:r>
      <w:r>
        <w:rPr>
          <w:rFonts w:hint="eastAsia"/>
          <w:color w:val="000000"/>
          <w:sz w:val="28"/>
          <w:u w:val="double" w:color="FF0000"/>
          <w:lang w:val="en-US" w:eastAsia="zh-CN"/>
        </w:rPr>
        <w:t>4</w:t>
      </w:r>
      <w:r>
        <w:rPr>
          <w:rFonts w:hint="eastAsia"/>
          <w:color w:val="000000"/>
          <w:sz w:val="28"/>
          <w:u w:val="double" w:color="FF0000"/>
        </w:rPr>
        <w:t>月</w:t>
      </w:r>
      <w:r>
        <w:rPr>
          <w:rFonts w:hint="eastAsia"/>
          <w:color w:val="000000"/>
          <w:sz w:val="28"/>
          <w:u w:val="double" w:color="FF0000"/>
          <w:lang w:val="en-US" w:eastAsia="zh-CN"/>
        </w:rPr>
        <w:t>17</w:t>
      </w:r>
      <w:r>
        <w:rPr>
          <w:rFonts w:hint="eastAsia"/>
          <w:color w:val="000000"/>
          <w:sz w:val="28"/>
          <w:u w:val="double" w:color="FF0000"/>
        </w:rPr>
        <w:t>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b/>
          <w:bCs/>
          <w:color w:val="000000"/>
          <w:kern w:val="0"/>
          <w:sz w:val="36"/>
          <w:szCs w:val="36"/>
          <w:lang w:val="en-US" w:eastAsia="zh-CN" w:bidi="ar"/>
        </w:rPr>
      </w:pPr>
      <w:r>
        <w:rPr>
          <w:rFonts w:hint="eastAsia" w:ascii="仿宋_GB2312" w:hAnsi="仿宋_GB2312" w:eastAsia="仿宋_GB2312" w:cs="仿宋_GB2312"/>
          <w:b/>
          <w:bCs/>
          <w:color w:val="000000"/>
          <w:kern w:val="0"/>
          <w:sz w:val="36"/>
          <w:szCs w:val="36"/>
          <w:lang w:val="en-US" w:eastAsia="zh-CN" w:bidi="ar"/>
        </w:rPr>
        <w:t>中国农业大学·西昌学院线上“8+1”毕业论文写作指导系列讲座开讲</w:t>
      </w:r>
    </w:p>
    <w:p>
      <w:pPr>
        <w:ind w:firstLine="560" w:firstLineChars="200"/>
        <w:rPr>
          <w:rFonts w:hint="default" w:ascii="宋体" w:hAnsi="宋体" w:eastAsia="宋体" w:cs="宋体"/>
          <w:i w:val="0"/>
          <w:iCs w:val="0"/>
          <w:caps w:val="0"/>
          <w:color w:val="000000"/>
          <w:spacing w:val="0"/>
          <w:kern w:val="0"/>
          <w:sz w:val="28"/>
          <w:szCs w:val="28"/>
          <w:u w:val="none"/>
          <w:lang w:val="en-US" w:eastAsia="zh-CN" w:bidi="ar-SA"/>
        </w:rPr>
      </w:pPr>
      <w:r>
        <w:rPr>
          <w:rFonts w:hint="eastAsia" w:ascii="宋体" w:hAnsi="宋体" w:eastAsia="宋体" w:cs="宋体"/>
          <w:i w:val="0"/>
          <w:iCs w:val="0"/>
          <w:caps w:val="0"/>
          <w:color w:val="000000"/>
          <w:spacing w:val="0"/>
          <w:kern w:val="0"/>
          <w:sz w:val="28"/>
          <w:szCs w:val="28"/>
          <w:u w:val="none"/>
          <w:lang w:val="en-US" w:eastAsia="zh-CN" w:bidi="ar-SA"/>
        </w:rPr>
        <w:t>正值2024年第</w:t>
      </w:r>
      <w:r>
        <w:rPr>
          <w:rFonts w:hint="default" w:ascii="宋体" w:hAnsi="宋体" w:eastAsia="宋体" w:cs="宋体"/>
          <w:i w:val="0"/>
          <w:iCs w:val="0"/>
          <w:caps w:val="0"/>
          <w:color w:val="000000"/>
          <w:spacing w:val="0"/>
          <w:kern w:val="0"/>
          <w:sz w:val="28"/>
          <w:szCs w:val="28"/>
          <w:u w:val="none"/>
          <w:lang w:val="en-US" w:eastAsia="zh-CN" w:bidi="ar-SA"/>
        </w:rPr>
        <w:t>29个</w:t>
      </w:r>
      <w:r>
        <w:rPr>
          <w:rFonts w:hint="eastAsia" w:ascii="宋体" w:hAnsi="宋体" w:eastAsia="宋体" w:cs="宋体"/>
          <w:i w:val="0"/>
          <w:iCs w:val="0"/>
          <w:caps w:val="0"/>
          <w:color w:val="000000"/>
          <w:spacing w:val="0"/>
          <w:kern w:val="0"/>
          <w:sz w:val="28"/>
          <w:szCs w:val="28"/>
          <w:u w:val="none"/>
          <w:lang w:val="en-US" w:eastAsia="zh-CN" w:bidi="ar-SA"/>
        </w:rPr>
        <w:t>“</w:t>
      </w:r>
      <w:r>
        <w:rPr>
          <w:rFonts w:hint="default" w:ascii="宋体" w:hAnsi="宋体" w:eastAsia="宋体" w:cs="宋体"/>
          <w:i w:val="0"/>
          <w:iCs w:val="0"/>
          <w:caps w:val="0"/>
          <w:color w:val="000000"/>
          <w:spacing w:val="0"/>
          <w:kern w:val="0"/>
          <w:sz w:val="28"/>
          <w:szCs w:val="28"/>
          <w:u w:val="none"/>
          <w:lang w:val="en-US" w:eastAsia="zh-CN" w:bidi="ar-SA"/>
        </w:rPr>
        <w:t>世界读书日</w:t>
      </w:r>
      <w:r>
        <w:rPr>
          <w:rFonts w:hint="eastAsia" w:ascii="宋体" w:hAnsi="宋体" w:eastAsia="宋体" w:cs="宋体"/>
          <w:i w:val="0"/>
          <w:iCs w:val="0"/>
          <w:caps w:val="0"/>
          <w:color w:val="000000"/>
          <w:spacing w:val="0"/>
          <w:kern w:val="0"/>
          <w:sz w:val="28"/>
          <w:szCs w:val="28"/>
          <w:u w:val="none"/>
          <w:lang w:val="en-US" w:eastAsia="zh-CN" w:bidi="ar-SA"/>
        </w:rPr>
        <w:t>”</w:t>
      </w:r>
      <w:r>
        <w:rPr>
          <w:rFonts w:hint="default" w:ascii="宋体" w:hAnsi="宋体" w:eastAsia="宋体" w:cs="宋体"/>
          <w:i w:val="0"/>
          <w:iCs w:val="0"/>
          <w:caps w:val="0"/>
          <w:color w:val="000000"/>
          <w:spacing w:val="0"/>
          <w:kern w:val="0"/>
          <w:sz w:val="28"/>
          <w:szCs w:val="28"/>
          <w:u w:val="none"/>
          <w:lang w:val="en-US" w:eastAsia="zh-CN" w:bidi="ar-SA"/>
        </w:rPr>
        <w:t>到来之际，</w:t>
      </w:r>
      <w:r>
        <w:rPr>
          <w:rFonts w:hint="eastAsia" w:ascii="宋体" w:hAnsi="宋体" w:eastAsia="宋体" w:cs="宋体"/>
          <w:i w:val="0"/>
          <w:iCs w:val="0"/>
          <w:caps w:val="0"/>
          <w:color w:val="000000"/>
          <w:spacing w:val="0"/>
          <w:kern w:val="0"/>
          <w:sz w:val="28"/>
          <w:szCs w:val="28"/>
          <w:u w:val="none"/>
          <w:lang w:val="en-US" w:eastAsia="zh-CN" w:bidi="ar-SA"/>
        </w:rPr>
        <w:t>经过前期的精心准备，</w:t>
      </w:r>
      <w:r>
        <w:rPr>
          <w:rFonts w:hint="default" w:ascii="宋体" w:hAnsi="宋体" w:eastAsia="宋体" w:cs="宋体"/>
          <w:i w:val="0"/>
          <w:iCs w:val="0"/>
          <w:caps w:val="0"/>
          <w:color w:val="000000"/>
          <w:spacing w:val="0"/>
          <w:kern w:val="0"/>
          <w:sz w:val="28"/>
          <w:szCs w:val="28"/>
          <w:u w:val="none"/>
          <w:lang w:val="en-US" w:eastAsia="zh-CN" w:bidi="ar-SA"/>
        </w:rPr>
        <w:t>中国农业大学图书馆</w:t>
      </w:r>
      <w:r>
        <w:rPr>
          <w:rFonts w:hint="eastAsia" w:ascii="宋体" w:hAnsi="宋体" w:eastAsia="宋体" w:cs="宋体"/>
          <w:i w:val="0"/>
          <w:iCs w:val="0"/>
          <w:caps w:val="0"/>
          <w:color w:val="000000"/>
          <w:spacing w:val="0"/>
          <w:kern w:val="0"/>
          <w:sz w:val="28"/>
          <w:szCs w:val="28"/>
          <w:u w:val="none"/>
          <w:lang w:val="en-US" w:eastAsia="zh-CN" w:bidi="ar-SA"/>
        </w:rPr>
        <w:t>与西昌学院</w:t>
      </w:r>
      <w:r>
        <w:rPr>
          <w:rFonts w:hint="default" w:ascii="宋体" w:hAnsi="宋体" w:eastAsia="宋体" w:cs="宋体"/>
          <w:i w:val="0"/>
          <w:iCs w:val="0"/>
          <w:caps w:val="0"/>
          <w:color w:val="000000"/>
          <w:spacing w:val="0"/>
          <w:kern w:val="0"/>
          <w:sz w:val="28"/>
          <w:szCs w:val="28"/>
          <w:u w:val="none"/>
          <w:lang w:val="en-US" w:eastAsia="zh-CN" w:bidi="ar-SA"/>
        </w:rPr>
        <w:t>图书馆</w:t>
      </w:r>
      <w:r>
        <w:rPr>
          <w:rFonts w:hint="eastAsia" w:ascii="宋体" w:hAnsi="宋体" w:eastAsia="宋体" w:cs="宋体"/>
          <w:i w:val="0"/>
          <w:iCs w:val="0"/>
          <w:caps w:val="0"/>
          <w:color w:val="000000"/>
          <w:spacing w:val="0"/>
          <w:kern w:val="0"/>
          <w:sz w:val="28"/>
          <w:szCs w:val="28"/>
          <w:u w:val="none"/>
          <w:lang w:val="en-US" w:eastAsia="zh-CN" w:bidi="ar-SA"/>
        </w:rPr>
        <w:t>“线上‘8</w:t>
      </w:r>
      <w:r>
        <w:rPr>
          <w:rFonts w:hint="default" w:ascii="宋体" w:hAnsi="宋体" w:eastAsia="宋体" w:cs="宋体"/>
          <w:i w:val="0"/>
          <w:iCs w:val="0"/>
          <w:caps w:val="0"/>
          <w:color w:val="000000"/>
          <w:spacing w:val="0"/>
          <w:kern w:val="0"/>
          <w:sz w:val="28"/>
          <w:szCs w:val="28"/>
          <w:u w:val="none"/>
          <w:lang w:val="en-US" w:eastAsia="zh-CN" w:bidi="ar-SA"/>
        </w:rPr>
        <w:t>+1</w:t>
      </w:r>
      <w:r>
        <w:rPr>
          <w:rFonts w:hint="eastAsia" w:ascii="宋体" w:hAnsi="宋体" w:eastAsia="宋体" w:cs="宋体"/>
          <w:i w:val="0"/>
          <w:iCs w:val="0"/>
          <w:caps w:val="0"/>
          <w:color w:val="000000"/>
          <w:spacing w:val="0"/>
          <w:kern w:val="0"/>
          <w:sz w:val="28"/>
          <w:szCs w:val="28"/>
          <w:u w:val="none"/>
          <w:lang w:val="en-US" w:eastAsia="zh-CN" w:bidi="ar-SA"/>
        </w:rPr>
        <w:t>’</w:t>
      </w:r>
      <w:r>
        <w:rPr>
          <w:rFonts w:hint="default" w:ascii="宋体" w:hAnsi="宋体" w:eastAsia="宋体" w:cs="宋体"/>
          <w:i w:val="0"/>
          <w:iCs w:val="0"/>
          <w:caps w:val="0"/>
          <w:color w:val="000000"/>
          <w:spacing w:val="0"/>
          <w:kern w:val="0"/>
          <w:sz w:val="28"/>
          <w:szCs w:val="28"/>
          <w:u w:val="none"/>
          <w:lang w:val="en-US" w:eastAsia="zh-CN" w:bidi="ar-SA"/>
        </w:rPr>
        <w:t>毕业季论文写作指导</w:t>
      </w:r>
      <w:r>
        <w:rPr>
          <w:rFonts w:hint="eastAsia" w:ascii="宋体" w:hAnsi="宋体" w:eastAsia="宋体" w:cs="宋体"/>
          <w:i w:val="0"/>
          <w:iCs w:val="0"/>
          <w:caps w:val="0"/>
          <w:color w:val="000000"/>
          <w:spacing w:val="0"/>
          <w:kern w:val="0"/>
          <w:sz w:val="28"/>
          <w:szCs w:val="28"/>
          <w:u w:val="none"/>
          <w:lang w:val="en-US" w:eastAsia="zh-CN" w:bidi="ar-SA"/>
        </w:rPr>
        <w:t>系列讲座”于2024年4月17日正式开讲</w:t>
      </w:r>
      <w:r>
        <w:rPr>
          <w:rFonts w:hint="default" w:ascii="宋体" w:hAnsi="宋体" w:eastAsia="宋体" w:cs="宋体"/>
          <w:i w:val="0"/>
          <w:iCs w:val="0"/>
          <w:caps w:val="0"/>
          <w:color w:val="000000"/>
          <w:spacing w:val="0"/>
          <w:kern w:val="0"/>
          <w:sz w:val="28"/>
          <w:szCs w:val="28"/>
          <w:u w:val="none"/>
          <w:lang w:val="en-US" w:eastAsia="zh-CN" w:bidi="ar-SA"/>
        </w:rPr>
        <w:t>。</w:t>
      </w:r>
    </w:p>
    <w:p>
      <w:pPr>
        <w:ind w:left="0" w:leftChars="0" w:firstLine="638" w:firstLineChars="228"/>
        <w:rPr>
          <w:rFonts w:hint="default"/>
          <w:b w:val="0"/>
          <w:bCs w:val="0"/>
          <w:sz w:val="28"/>
          <w:szCs w:val="28"/>
          <w:lang w:val="en-US" w:eastAsia="zh-CN"/>
        </w:rPr>
      </w:pPr>
      <w:r>
        <w:rPr>
          <w:rFonts w:hint="eastAsia"/>
          <w:b w:val="0"/>
          <w:bCs w:val="0"/>
          <w:sz w:val="28"/>
          <w:szCs w:val="28"/>
          <w:lang w:val="en-US" w:eastAsia="zh-CN"/>
        </w:rPr>
        <w:drawing>
          <wp:inline distT="0" distB="0" distL="114300" distR="114300">
            <wp:extent cx="4197350" cy="2581275"/>
            <wp:effectExtent l="0" t="0" r="12700" b="9525"/>
            <wp:docPr id="5" name="图片 5" descr="c17cce9be0425e774c4efaa43efa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17cce9be0425e774c4efaa43efa7a4"/>
                    <pic:cNvPicPr>
                      <a:picLocks noChangeAspect="1"/>
                    </pic:cNvPicPr>
                  </pic:nvPicPr>
                  <pic:blipFill>
                    <a:blip r:embed="rId4">
                      <a:lum bright="24000"/>
                    </a:blip>
                    <a:stretch>
                      <a:fillRect/>
                    </a:stretch>
                  </pic:blipFill>
                  <pic:spPr>
                    <a:xfrm>
                      <a:off x="0" y="0"/>
                      <a:ext cx="4197350" cy="2581275"/>
                    </a:xfrm>
                    <a:prstGeom prst="rect">
                      <a:avLst/>
                    </a:prstGeom>
                  </pic:spPr>
                </pic:pic>
              </a:graphicData>
            </a:graphic>
          </wp:inline>
        </w:drawing>
      </w:r>
    </w:p>
    <w:p>
      <w:pPr>
        <w:ind w:left="0" w:leftChars="0" w:firstLine="0" w:firstLineChars="0"/>
        <w:jc w:val="center"/>
        <w:rPr>
          <w:rFonts w:hint="default"/>
          <w:b w:val="0"/>
          <w:bCs w:val="0"/>
          <w:sz w:val="28"/>
          <w:szCs w:val="28"/>
          <w:lang w:val="en-US" w:eastAsia="zh-CN"/>
        </w:rPr>
      </w:pPr>
      <w:r>
        <w:rPr>
          <w:rFonts w:hint="eastAsia"/>
          <w:b w:val="0"/>
          <w:bCs w:val="0"/>
          <w:sz w:val="21"/>
          <w:szCs w:val="21"/>
          <w:lang w:val="en-US" w:eastAsia="zh-CN"/>
        </w:rPr>
        <w:t>动物科学学院学生120人在格物楼406报告厅集中收看讲座</w:t>
      </w:r>
    </w:p>
    <w:p>
      <w:pPr>
        <w:ind w:firstLine="560" w:firstLineChars="200"/>
        <w:rPr>
          <w:rFonts w:hint="eastAsia" w:ascii="宋体" w:hAnsi="宋体" w:eastAsia="宋体" w:cs="宋体"/>
          <w:i w:val="0"/>
          <w:iCs w:val="0"/>
          <w:caps w:val="0"/>
          <w:color w:val="000000"/>
          <w:spacing w:val="0"/>
          <w:kern w:val="0"/>
          <w:sz w:val="28"/>
          <w:szCs w:val="28"/>
          <w:u w:val="none"/>
          <w:lang w:val="en-US" w:eastAsia="zh-CN" w:bidi="ar-SA"/>
        </w:rPr>
      </w:pPr>
      <w:r>
        <w:rPr>
          <w:rFonts w:hint="default" w:ascii="宋体" w:hAnsi="宋体" w:eastAsia="宋体" w:cs="宋体"/>
          <w:i w:val="0"/>
          <w:iCs w:val="0"/>
          <w:caps w:val="0"/>
          <w:color w:val="000000"/>
          <w:spacing w:val="0"/>
          <w:kern w:val="0"/>
          <w:sz w:val="28"/>
          <w:szCs w:val="28"/>
          <w:u w:val="none"/>
          <w:lang w:val="en-US" w:eastAsia="zh-CN" w:bidi="ar-SA"/>
        </w:rPr>
        <w:t>本次</w:t>
      </w:r>
      <w:r>
        <w:rPr>
          <w:rFonts w:hint="eastAsia" w:ascii="宋体" w:hAnsi="宋体" w:eastAsia="宋体" w:cs="宋体"/>
          <w:i w:val="0"/>
          <w:iCs w:val="0"/>
          <w:caps w:val="0"/>
          <w:color w:val="000000"/>
          <w:spacing w:val="0"/>
          <w:kern w:val="0"/>
          <w:sz w:val="28"/>
          <w:szCs w:val="28"/>
          <w:u w:val="none"/>
          <w:lang w:val="en-US" w:eastAsia="zh-CN" w:bidi="ar-SA"/>
        </w:rPr>
        <w:t>系列讲座</w:t>
      </w:r>
      <w:r>
        <w:rPr>
          <w:rFonts w:hint="default" w:ascii="宋体" w:hAnsi="宋体" w:eastAsia="宋体" w:cs="宋体"/>
          <w:i w:val="0"/>
          <w:iCs w:val="0"/>
          <w:caps w:val="0"/>
          <w:color w:val="000000"/>
          <w:spacing w:val="0"/>
          <w:kern w:val="0"/>
          <w:sz w:val="28"/>
          <w:szCs w:val="28"/>
          <w:u w:val="none"/>
          <w:lang w:val="en-US" w:eastAsia="zh-CN" w:bidi="ar-SA"/>
        </w:rPr>
        <w:t>特邀请中国农业大学</w:t>
      </w:r>
      <w:r>
        <w:rPr>
          <w:rFonts w:hint="eastAsia" w:ascii="宋体" w:hAnsi="宋体" w:eastAsia="宋体" w:cs="宋体"/>
          <w:i w:val="0"/>
          <w:iCs w:val="0"/>
          <w:caps w:val="0"/>
          <w:color w:val="000000"/>
          <w:spacing w:val="0"/>
          <w:kern w:val="0"/>
          <w:sz w:val="28"/>
          <w:szCs w:val="28"/>
          <w:u w:val="none"/>
          <w:lang w:val="en-US" w:eastAsia="zh-CN" w:bidi="ar-SA"/>
        </w:rPr>
        <w:t>8</w:t>
      </w:r>
      <w:r>
        <w:rPr>
          <w:rFonts w:hint="default" w:ascii="宋体" w:hAnsi="宋体" w:eastAsia="宋体" w:cs="宋体"/>
          <w:i w:val="0"/>
          <w:iCs w:val="0"/>
          <w:caps w:val="0"/>
          <w:color w:val="000000"/>
          <w:spacing w:val="0"/>
          <w:kern w:val="0"/>
          <w:sz w:val="28"/>
          <w:szCs w:val="28"/>
          <w:u w:val="none"/>
          <w:lang w:val="en-US" w:eastAsia="zh-CN" w:bidi="ar-SA"/>
        </w:rPr>
        <w:t>名专家开展线上专场指导，每场讲座1小时，跨越时空为我校毕业生论文写作指点迷津、问诊把脉。</w:t>
      </w:r>
      <w:r>
        <w:rPr>
          <w:rFonts w:hint="eastAsia" w:ascii="宋体" w:hAnsi="宋体" w:eastAsia="宋体" w:cs="宋体"/>
          <w:i w:val="0"/>
          <w:iCs w:val="0"/>
          <w:caps w:val="0"/>
          <w:color w:val="000000"/>
          <w:spacing w:val="0"/>
          <w:kern w:val="0"/>
          <w:sz w:val="28"/>
          <w:szCs w:val="28"/>
          <w:u w:val="none"/>
          <w:lang w:val="en-US" w:eastAsia="zh-CN" w:bidi="ar-SA"/>
        </w:rPr>
        <w:t>讲座内容涵盖了论文写作的基础知识、技巧和方法，以及如何在阅读中汲取灵感和素材等，具有极强的针对性和实用性。由于参与人数较多，应西昌学院广大师生的强烈要求，收听方式由腾讯会议改为超星学习通和泛雅课堂进行。据不完全统计，仅</w:t>
      </w:r>
      <w:bookmarkStart w:id="0" w:name="hmcheck_1f519d47dbb642a98c31c369a8e025d0"/>
      <w:r>
        <w:rPr>
          <w:rFonts w:hint="eastAsia" w:ascii="宋体" w:hAnsi="宋体" w:eastAsia="宋体" w:cs="宋体"/>
          <w:i w:val="0"/>
          <w:iCs w:val="0"/>
          <w:caps w:val="0"/>
          <w:color w:val="000000"/>
          <w:spacing w:val="0"/>
          <w:kern w:val="0"/>
          <w:sz w:val="28"/>
          <w:szCs w:val="28"/>
          <w:u w:val="none"/>
          <w:shd w:val="clear" w:fill="FFFFFF"/>
          <w:lang w:val="en-US" w:eastAsia="zh-CN" w:bidi="ar-SA"/>
        </w:rPr>
        <w:t>第一、</w:t>
      </w:r>
      <w:bookmarkEnd w:id="0"/>
      <w:r>
        <w:rPr>
          <w:rFonts w:hint="eastAsia" w:ascii="宋体" w:hAnsi="宋体" w:eastAsia="宋体" w:cs="宋体"/>
          <w:i w:val="0"/>
          <w:iCs w:val="0"/>
          <w:caps w:val="0"/>
          <w:color w:val="000000"/>
          <w:spacing w:val="0"/>
          <w:kern w:val="0"/>
          <w:sz w:val="28"/>
          <w:szCs w:val="28"/>
          <w:u w:val="none"/>
          <w:lang w:val="en-US" w:eastAsia="zh-CN" w:bidi="ar-SA"/>
        </w:rPr>
        <w:t>二讲就有近千人次师生参加。动物科学学院、旅游与城乡规划学院、外国语学院等专门组织了学生集体观看。</w:t>
      </w:r>
    </w:p>
    <w:p>
      <w:pPr>
        <w:ind w:left="0" w:leftChars="0" w:firstLine="638" w:firstLineChars="228"/>
        <w:rPr>
          <w:rFonts w:hint="eastAsia"/>
          <w:b w:val="0"/>
          <w:bCs w:val="0"/>
          <w:sz w:val="28"/>
          <w:szCs w:val="28"/>
          <w:lang w:val="en-US" w:eastAsia="zh-CN"/>
        </w:rPr>
      </w:pPr>
      <w:r>
        <w:rPr>
          <w:rFonts w:hint="eastAsia"/>
          <w:b w:val="0"/>
          <w:bCs w:val="0"/>
          <w:sz w:val="28"/>
          <w:szCs w:val="28"/>
          <w:lang w:val="en-US" w:eastAsia="zh-CN"/>
        </w:rPr>
        <w:drawing>
          <wp:inline distT="0" distB="0" distL="114300" distR="114300">
            <wp:extent cx="4328795" cy="2533015"/>
            <wp:effectExtent l="0" t="0" r="14605" b="635"/>
            <wp:docPr id="6" name="图片 6" descr="3cb6a3465e2f316cf2522fb8dc5aa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cb6a3465e2f316cf2522fb8dc5aad6"/>
                    <pic:cNvPicPr>
                      <a:picLocks noChangeAspect="1"/>
                    </pic:cNvPicPr>
                  </pic:nvPicPr>
                  <pic:blipFill>
                    <a:blip r:embed="rId5"/>
                    <a:stretch>
                      <a:fillRect/>
                    </a:stretch>
                  </pic:blipFill>
                  <pic:spPr>
                    <a:xfrm>
                      <a:off x="0" y="0"/>
                      <a:ext cx="4328795" cy="2533015"/>
                    </a:xfrm>
                    <a:prstGeom prst="rect">
                      <a:avLst/>
                    </a:prstGeom>
                  </pic:spPr>
                </pic:pic>
              </a:graphicData>
            </a:graphic>
          </wp:inline>
        </w:drawing>
      </w:r>
    </w:p>
    <w:p>
      <w:pPr>
        <w:ind w:left="0" w:leftChars="0" w:firstLine="0" w:firstLineChars="0"/>
        <w:jc w:val="center"/>
        <w:rPr>
          <w:rFonts w:hint="eastAsia"/>
          <w:b w:val="0"/>
          <w:bCs w:val="0"/>
          <w:sz w:val="28"/>
          <w:szCs w:val="28"/>
          <w:lang w:val="en-US" w:eastAsia="zh-CN"/>
        </w:rPr>
      </w:pPr>
      <w:r>
        <w:rPr>
          <w:rFonts w:hint="eastAsia"/>
          <w:b w:val="0"/>
          <w:bCs w:val="0"/>
          <w:sz w:val="21"/>
          <w:szCs w:val="21"/>
          <w:lang w:val="en-US" w:eastAsia="zh-CN"/>
        </w:rPr>
        <w:t>旅游与城乡规划学院会议室集中收看讲座</w:t>
      </w:r>
    </w:p>
    <w:p>
      <w:pPr>
        <w:ind w:firstLine="560" w:firstLineChars="200"/>
        <w:rPr>
          <w:rFonts w:hint="eastAsia" w:ascii="宋体" w:hAnsi="宋体" w:eastAsia="宋体" w:cs="宋体"/>
          <w:i w:val="0"/>
          <w:iCs w:val="0"/>
          <w:caps w:val="0"/>
          <w:color w:val="000000"/>
          <w:spacing w:val="0"/>
          <w:kern w:val="0"/>
          <w:sz w:val="28"/>
          <w:szCs w:val="28"/>
          <w:u w:val="none"/>
          <w:lang w:val="en-US" w:eastAsia="zh-CN" w:bidi="ar-SA"/>
        </w:rPr>
      </w:pPr>
      <w:r>
        <w:rPr>
          <w:rFonts w:hint="eastAsia" w:ascii="宋体" w:hAnsi="宋体" w:eastAsia="宋体" w:cs="宋体"/>
          <w:i w:val="0"/>
          <w:iCs w:val="0"/>
          <w:caps w:val="0"/>
          <w:color w:val="000000"/>
          <w:spacing w:val="0"/>
          <w:kern w:val="0"/>
          <w:sz w:val="28"/>
          <w:szCs w:val="28"/>
          <w:u w:val="none"/>
          <w:lang w:val="en-US" w:eastAsia="zh-CN" w:bidi="ar-SA"/>
        </w:rPr>
        <w:t>系列毕业论文写作指导讲座，是2023年7月中国农业大学与西昌学院正式签署对口支援框架协议之后的又一具体举措，旨在通过学习、交流和提升的线上平台，大家实时交流心得、分享经验，形成浓厚的学习氛围。未来，西昌学院图书馆将珍惜机会，集中力量，及时总结，圆满完成任务。为推进全民阅读、提升校园文化品质做出更大的贡献。同时，我们也期待与中国农业大学更多</w:t>
      </w:r>
      <w:bookmarkStart w:id="2" w:name="_GoBack"/>
      <w:bookmarkStart w:id="1" w:name="hmcheck_32eada23d4d14b9fb7ea8679cbd58cec"/>
      <w:r>
        <w:rPr>
          <w:rFonts w:hint="eastAsia" w:ascii="宋体" w:hAnsi="宋体" w:eastAsia="宋体" w:cs="宋体"/>
          <w:i w:val="0"/>
          <w:iCs w:val="0"/>
          <w:caps w:val="0"/>
          <w:color w:val="000000"/>
          <w:spacing w:val="0"/>
          <w:kern w:val="0"/>
          <w:sz w:val="28"/>
          <w:szCs w:val="28"/>
          <w:u w:val="none"/>
          <w:shd w:val="clear" w:fill="FFFFFF"/>
          <w:lang w:val="en-US" w:eastAsia="zh-CN" w:bidi="ar-SA"/>
        </w:rPr>
        <w:t>的</w:t>
      </w:r>
      <w:bookmarkEnd w:id="2"/>
      <w:bookmarkEnd w:id="1"/>
      <w:r>
        <w:rPr>
          <w:rFonts w:hint="eastAsia" w:ascii="宋体" w:hAnsi="宋体" w:eastAsia="宋体" w:cs="宋体"/>
          <w:i w:val="0"/>
          <w:iCs w:val="0"/>
          <w:caps w:val="0"/>
          <w:color w:val="000000"/>
          <w:spacing w:val="0"/>
          <w:kern w:val="0"/>
          <w:sz w:val="28"/>
          <w:szCs w:val="28"/>
          <w:u w:val="none"/>
          <w:lang w:val="en-US" w:eastAsia="zh-CN" w:bidi="ar-SA"/>
        </w:rPr>
        <w:t>合作，携手共进，共同推动我校高质量的发展。</w:t>
      </w:r>
    </w:p>
    <w:p>
      <w:pPr>
        <w:ind w:left="0" w:leftChars="0" w:firstLine="478" w:firstLineChars="228"/>
        <w:jc w:val="center"/>
        <w:rPr>
          <w:rFonts w:hint="eastAsia"/>
          <w:b w:val="0"/>
          <w:bCs w:val="0"/>
          <w:sz w:val="28"/>
          <w:szCs w:val="28"/>
          <w:lang w:val="en-US" w:eastAsia="zh-CN"/>
        </w:rPr>
      </w:pPr>
      <w:r>
        <w:drawing>
          <wp:inline distT="0" distB="0" distL="114300" distR="114300">
            <wp:extent cx="3823970" cy="2324735"/>
            <wp:effectExtent l="0" t="0" r="5080" b="1841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6"/>
                    <a:stretch>
                      <a:fillRect/>
                    </a:stretch>
                  </pic:blipFill>
                  <pic:spPr>
                    <a:xfrm>
                      <a:off x="0" y="0"/>
                      <a:ext cx="3823970" cy="2324735"/>
                    </a:xfrm>
                    <a:prstGeom prst="rect">
                      <a:avLst/>
                    </a:prstGeom>
                    <a:noFill/>
                    <a:ln>
                      <a:noFill/>
                    </a:ln>
                  </pic:spPr>
                </pic:pic>
              </a:graphicData>
            </a:graphic>
          </wp:inline>
        </w:drawing>
      </w:r>
    </w:p>
    <w:p>
      <w:pPr>
        <w:ind w:left="0" w:leftChars="0" w:firstLine="478" w:firstLineChars="228"/>
        <w:jc w:val="center"/>
        <w:rPr>
          <w:rFonts w:hint="eastAsia" w:ascii="宋体" w:hAnsi="宋体" w:eastAsia="宋体" w:cs="宋体"/>
          <w:i w:val="0"/>
          <w:iCs w:val="0"/>
          <w:caps w:val="0"/>
          <w:color w:val="000000"/>
          <w:spacing w:val="0"/>
          <w:kern w:val="0"/>
          <w:sz w:val="28"/>
          <w:szCs w:val="28"/>
          <w:u w:val="none"/>
          <w:lang w:val="en-US" w:eastAsia="zh-CN" w:bidi="ar-SA"/>
        </w:rPr>
      </w:pPr>
      <w:r>
        <w:rPr>
          <w:rFonts w:hint="eastAsia"/>
          <w:b w:val="0"/>
          <w:bCs w:val="0"/>
          <w:sz w:val="21"/>
          <w:szCs w:val="21"/>
          <w:lang w:val="en-US" w:eastAsia="zh-CN"/>
        </w:rPr>
        <w:t>二级学院部分学生个人收看讲座</w:t>
      </w:r>
    </w:p>
    <w:sectPr>
      <w:pgSz w:w="11906" w:h="16838"/>
      <w:pgMar w:top="12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体">
    <w:altName w:val="宋体"/>
    <w:panose1 w:val="00000000000000000000"/>
    <w:charset w:val="00"/>
    <w:family w:val="auto"/>
    <w:pitch w:val="default"/>
    <w:sig w:usb0="00000000" w:usb1="00000000" w:usb2="00000000" w:usb3="00000000" w:csb0="00000000" w:csb1="00000000"/>
  </w:font>
  <w:font w:name="叶根友毛笔行书2.0版">
    <w:altName w:val="宋体"/>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kM2M1NjJlMzc2MzY2NzgwZTZkNGJlYTUwNjBiOWUifQ=="/>
    <w:docVar w:name="KSO_WPS_MARK_KEY" w:val="15510cfa-9540-4877-bf83-4c8c70ba11bf"/>
  </w:docVars>
  <w:rsids>
    <w:rsidRoot w:val="2FFC5C75"/>
    <w:rsid w:val="005E0AA6"/>
    <w:rsid w:val="02241011"/>
    <w:rsid w:val="16D962AA"/>
    <w:rsid w:val="17AC44F8"/>
    <w:rsid w:val="196C4FEE"/>
    <w:rsid w:val="24D32F62"/>
    <w:rsid w:val="2E5A44B5"/>
    <w:rsid w:val="2FFC5C75"/>
    <w:rsid w:val="318635B8"/>
    <w:rsid w:val="343757BD"/>
    <w:rsid w:val="34A57D4B"/>
    <w:rsid w:val="409F2B12"/>
    <w:rsid w:val="47122EAF"/>
    <w:rsid w:val="4CDF7A56"/>
    <w:rsid w:val="4F10589E"/>
    <w:rsid w:val="4FCE7957"/>
    <w:rsid w:val="5BAE41B3"/>
    <w:rsid w:val="5DCB57CC"/>
    <w:rsid w:val="61B75CBE"/>
    <w:rsid w:val="6C1771D3"/>
    <w:rsid w:val="7DD12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中文文档标题"/>
    <w:basedOn w:val="1"/>
    <w:next w:val="1"/>
    <w:qFormat/>
    <w:uiPriority w:val="0"/>
    <w:pPr>
      <w:widowControl w:val="0"/>
      <w:spacing w:beforeLines="0" w:line="240" w:lineRule="auto"/>
      <w:ind w:firstLine="0" w:firstLineChars="0"/>
      <w:jc w:val="center"/>
      <w:outlineLvl w:val="0"/>
    </w:pPr>
    <w:rPr>
      <w:rFonts w:ascii="小标宋体" w:hAnsi="小标宋体" w:eastAsia="小标宋体" w:cs="小标宋体"/>
      <w:b/>
      <w:kern w:val="2"/>
      <w:sz w:val="44"/>
      <w:szCs w:val="24"/>
      <w:lang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595</Words>
  <Characters>622</Characters>
  <Lines>0</Lines>
  <Paragraphs>0</Paragraphs>
  <TotalTime>1</TotalTime>
  <ScaleCrop>false</ScaleCrop>
  <LinksUpToDate>false</LinksUpToDate>
  <CharactersWithSpaces>657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2024-03-18T08:03:00Z</dcterms:created>
  <dc:creator>Administrator</dc:creator>
  <cp:lastModifiedBy>Administrator</cp:lastModifiedBy>
  <dcterms:modified xsi:type="dcterms:W3CDTF">2024-04-24T08:26:24Z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86E08E12400E43F091E713F549625AF8_13</vt:lpwstr>
  </property>
  <property fmtid="{D5CDD505-2E9C-101B-9397-08002B2CF9AE}" pid="4" name="hmcheck_result_1f519d47dbb642a98c31c369a8e025d0_errorword">
    <vt:lpwstr>第一、</vt:lpwstr>
  </property>
  <property fmtid="{D5CDD505-2E9C-101B-9397-08002B2CF9AE}" pid="5" name="hmcheck_result_1f519d47dbb642a98c31c369a8e025d0_correctwords">
    <vt:lpwstr>["第一，"]</vt:lpwstr>
  </property>
  <property fmtid="{D5CDD505-2E9C-101B-9397-08002B2CF9AE}" pid="6" name="hmcheck_result_1f519d47dbb642a98c31c369a8e025d0_level">
    <vt:i4>1</vt:i4>
  </property>
  <property fmtid="{D5CDD505-2E9C-101B-9397-08002B2CF9AE}" pid="7" name="hmcheck_result_1f519d47dbb642a98c31c369a8e025d0_type">
    <vt:i4>0</vt:i4>
  </property>
  <property fmtid="{D5CDD505-2E9C-101B-9397-08002B2CF9AE}" pid="8" name="hmcheck_result_1f519d47dbb642a98c31c369a8e025d0_modifiedtype">
    <vt:i4>1</vt:i4>
  </property>
  <property fmtid="{D5CDD505-2E9C-101B-9397-08002B2CF9AE}" pid="9" name="hmcheck_result_32eada23d4d14b9fb7ea8679cbd58cec_errorword">
    <vt:lpwstr>的</vt:lpwstr>
  </property>
  <property fmtid="{D5CDD505-2E9C-101B-9397-08002B2CF9AE}" pid="10" name="hmcheck_result_32eada23d4d14b9fb7ea8679cbd58cec_correctwords">
    <vt:lpwstr>["地"]</vt:lpwstr>
  </property>
  <property fmtid="{D5CDD505-2E9C-101B-9397-08002B2CF9AE}" pid="11" name="hmcheck_result_32eada23d4d14b9fb7ea8679cbd58cec_level">
    <vt:i4>1</vt:i4>
  </property>
  <property fmtid="{D5CDD505-2E9C-101B-9397-08002B2CF9AE}" pid="12" name="hmcheck_result_32eada23d4d14b9fb7ea8679cbd58cec_type">
    <vt:i4>4</vt:i4>
  </property>
  <property fmtid="{D5CDD505-2E9C-101B-9397-08002B2CF9AE}" pid="13" name="hmcheck_result_32eada23d4d14b9fb7ea8679cbd58cec_modifiedtype">
    <vt:i4>1</vt:i4>
  </property>
  <property fmtid="{D5CDD505-2E9C-101B-9397-08002B2CF9AE}" pid="14" name="hmcheck_markmode">
    <vt:i4>0</vt:i4>
  </property>
  <property fmtid="{D5CDD505-2E9C-101B-9397-08002B2CF9AE}" pid="15" name="hmcheck_taskpanetype">
    <vt:i4>1</vt:i4>
  </property>
</Properties>
</file>